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 w:val="0"/>
          <w:bCs w:val="0"/>
          <w:sz w:val="96"/>
          <w:szCs w:val="5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 w:val="0"/>
          <w:bCs w:val="0"/>
          <w:sz w:val="96"/>
          <w:szCs w:val="52"/>
          <w:lang w:val="en-US" w:eastAsia="zh-CN"/>
        </w:rPr>
        <w:t>DK系列</w:t>
      </w:r>
    </w:p>
    <w:p>
      <w:pPr>
        <w:jc w:val="center"/>
        <w:rPr>
          <w:rFonts w:hint="eastAsia" w:ascii="黑体" w:eastAsia="黑体"/>
          <w:b w:val="0"/>
          <w:bCs w:val="0"/>
          <w:sz w:val="144"/>
          <w:szCs w:val="56"/>
          <w:lang w:eastAsia="zh-CN"/>
        </w:rPr>
      </w:pPr>
      <w:r>
        <w:rPr>
          <w:rFonts w:hint="eastAsia" w:ascii="黑体" w:eastAsia="黑体"/>
          <w:b w:val="0"/>
          <w:bCs w:val="0"/>
          <w:sz w:val="96"/>
          <w:szCs w:val="52"/>
          <w:lang w:eastAsia="zh-CN"/>
        </w:rPr>
        <w:t>电热恒温水槽</w:t>
      </w:r>
    </w:p>
    <w:p>
      <w:pPr>
        <w:ind w:firstLine="2160" w:firstLineChars="300"/>
        <w:jc w:val="both"/>
        <w:rPr>
          <w:rFonts w:hint="eastAsia" w:ascii="黑体" w:eastAsia="黑体"/>
          <w:b w:val="0"/>
          <w:bCs w:val="0"/>
          <w:sz w:val="72"/>
          <w:szCs w:val="48"/>
          <w:lang w:eastAsia="zh-CN"/>
        </w:rPr>
      </w:pPr>
    </w:p>
    <w:p>
      <w:pPr>
        <w:jc w:val="center"/>
        <w:rPr>
          <w:rFonts w:hint="eastAsia" w:ascii="黑体" w:eastAsia="黑体"/>
          <w:b w:val="0"/>
          <w:bCs w:val="0"/>
          <w:sz w:val="96"/>
          <w:szCs w:val="52"/>
          <w:lang w:val="en-US" w:eastAsia="zh-CN"/>
        </w:rPr>
      </w:pPr>
      <w:r>
        <w:rPr>
          <w:rFonts w:hint="eastAsia" w:ascii="黑体" w:eastAsia="黑体"/>
          <w:b w:val="0"/>
          <w:bCs w:val="0"/>
          <w:sz w:val="96"/>
          <w:szCs w:val="52"/>
          <w:lang w:val="en-US" w:eastAsia="zh-CN"/>
        </w:rPr>
        <w:t>使</w:t>
      </w:r>
    </w:p>
    <w:p>
      <w:pPr>
        <w:jc w:val="center"/>
        <w:rPr>
          <w:rFonts w:hint="eastAsia" w:ascii="黑体" w:eastAsia="黑体"/>
          <w:b w:val="0"/>
          <w:bCs w:val="0"/>
          <w:sz w:val="96"/>
          <w:szCs w:val="52"/>
          <w:lang w:val="en-US" w:eastAsia="zh-CN"/>
        </w:rPr>
      </w:pPr>
      <w:r>
        <w:rPr>
          <w:rFonts w:hint="eastAsia" w:ascii="黑体" w:eastAsia="黑体"/>
          <w:b w:val="0"/>
          <w:bCs w:val="0"/>
          <w:sz w:val="96"/>
          <w:szCs w:val="52"/>
          <w:lang w:val="en-US" w:eastAsia="zh-CN"/>
        </w:rPr>
        <w:t>用</w:t>
      </w:r>
    </w:p>
    <w:p>
      <w:pPr>
        <w:jc w:val="center"/>
        <w:rPr>
          <w:rFonts w:hint="eastAsia" w:ascii="黑体" w:eastAsia="黑体"/>
          <w:b w:val="0"/>
          <w:bCs w:val="0"/>
          <w:sz w:val="96"/>
          <w:szCs w:val="52"/>
          <w:lang w:val="en-US" w:eastAsia="zh-CN"/>
        </w:rPr>
      </w:pPr>
      <w:r>
        <w:rPr>
          <w:rFonts w:hint="eastAsia" w:ascii="黑体" w:eastAsia="黑体"/>
          <w:b w:val="0"/>
          <w:bCs w:val="0"/>
          <w:sz w:val="96"/>
          <w:szCs w:val="52"/>
          <w:lang w:val="en-US" w:eastAsia="zh-CN"/>
        </w:rPr>
        <w:t>说</w:t>
      </w:r>
    </w:p>
    <w:p>
      <w:pPr>
        <w:jc w:val="center"/>
        <w:rPr>
          <w:rFonts w:hint="eastAsia" w:ascii="黑体" w:eastAsia="黑体"/>
          <w:b w:val="0"/>
          <w:bCs w:val="0"/>
          <w:sz w:val="96"/>
          <w:szCs w:val="52"/>
          <w:lang w:val="en-US" w:eastAsia="zh-CN"/>
        </w:rPr>
      </w:pPr>
      <w:r>
        <w:rPr>
          <w:rFonts w:hint="eastAsia" w:ascii="黑体" w:eastAsia="黑体"/>
          <w:b w:val="0"/>
          <w:bCs w:val="0"/>
          <w:sz w:val="96"/>
          <w:szCs w:val="52"/>
          <w:lang w:val="en-US" w:eastAsia="zh-CN"/>
        </w:rPr>
        <w:t>明</w:t>
      </w:r>
    </w:p>
    <w:p>
      <w:pPr>
        <w:jc w:val="center"/>
        <w:rPr>
          <w:rFonts w:hint="eastAsia" w:ascii="黑体" w:eastAsia="黑体"/>
          <w:b w:val="0"/>
          <w:bCs w:val="0"/>
          <w:sz w:val="72"/>
          <w:szCs w:val="48"/>
        </w:rPr>
      </w:pPr>
      <w:r>
        <w:rPr>
          <w:rFonts w:hint="eastAsia" w:ascii="黑体" w:eastAsia="黑体"/>
          <w:b w:val="0"/>
          <w:bCs w:val="0"/>
          <w:sz w:val="96"/>
          <w:szCs w:val="52"/>
          <w:lang w:val="en-US" w:eastAsia="zh-CN"/>
        </w:rPr>
        <w:t>书</w:t>
      </w:r>
    </w:p>
    <w:p>
      <w:pPr>
        <w:jc w:val="both"/>
        <w:rPr>
          <w:rFonts w:hint="eastAsia" w:ascii="黑体" w:eastAsia="黑体"/>
          <w:b w:val="0"/>
          <w:bCs w:val="0"/>
          <w:sz w:val="72"/>
          <w:szCs w:val="48"/>
        </w:rPr>
      </w:pPr>
    </w:p>
    <w:p>
      <w:pPr>
        <w:jc w:val="both"/>
        <w:rPr>
          <w:rFonts w:hint="eastAsia" w:ascii="黑体" w:eastAsia="黑体"/>
          <w:b w:val="0"/>
          <w:bCs w:val="0"/>
          <w:sz w:val="72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outlineLvl w:val="9"/>
        <w:rPr>
          <w:rFonts w:hint="eastAsia" w:ascii="黑体" w:eastAsia="黑体"/>
          <w:b/>
          <w:bCs/>
          <w:color w:val="000000"/>
          <w:sz w:val="36"/>
          <w:lang w:eastAsia="zh-CN"/>
        </w:rPr>
      </w:pPr>
      <w:r>
        <w:rPr>
          <w:rFonts w:hint="eastAsia" w:ascii="黑体" w:eastAsia="黑体"/>
          <w:b/>
          <w:bCs/>
          <w:color w:val="000000"/>
          <w:sz w:val="36"/>
          <w:lang w:eastAsia="zh-CN"/>
        </w:rPr>
        <w:t>生产商：宁国沙鹰科学仪器有限公司</w:t>
      </w:r>
    </w:p>
    <w:p>
      <w:pPr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color w:val="000000"/>
          <w:sz w:val="36"/>
          <w:lang w:eastAsia="zh-CN"/>
        </w:rPr>
        <w:t>运营商：沙鹰科学仪器（上海）有限公司</w:t>
      </w:r>
    </w:p>
    <w:p>
      <w:pPr>
        <w:jc w:val="both"/>
        <w:rPr>
          <w:rFonts w:hint="eastAsia" w:ascii="黑体" w:eastAsia="黑体"/>
          <w:b/>
          <w:bCs/>
          <w:sz w:val="40"/>
          <w:szCs w:val="28"/>
          <w:lang w:eastAsia="zh-CN"/>
        </w:rPr>
      </w:pPr>
    </w:p>
    <w:p>
      <w:pPr>
        <w:jc w:val="center"/>
        <w:rPr>
          <w:rFonts w:hint="eastAsia" w:ascii="黑体" w:eastAsia="黑体"/>
          <w:b/>
          <w:bCs/>
          <w:sz w:val="40"/>
          <w:szCs w:val="28"/>
        </w:rPr>
      </w:pPr>
      <w:r>
        <w:rPr>
          <w:rFonts w:hint="eastAsia" w:ascii="黑体" w:eastAsia="黑体"/>
          <w:b/>
          <w:bCs/>
          <w:sz w:val="40"/>
          <w:szCs w:val="28"/>
          <w:lang w:val="en-US" w:eastAsia="zh-CN"/>
        </w:rPr>
        <w:t>DK系列</w:t>
      </w:r>
      <w:r>
        <w:rPr>
          <w:rFonts w:hint="eastAsia" w:ascii="黑体" w:eastAsia="黑体"/>
          <w:b/>
          <w:bCs/>
          <w:sz w:val="40"/>
          <w:szCs w:val="28"/>
          <w:lang w:eastAsia="zh-CN"/>
        </w:rPr>
        <w:t>电热恒温水槽</w:t>
      </w:r>
      <w:r>
        <w:rPr>
          <w:rFonts w:hint="eastAsia" w:ascii="黑体" w:eastAsia="黑体"/>
          <w:b/>
          <w:bCs/>
          <w:sz w:val="40"/>
          <w:szCs w:val="28"/>
        </w:rPr>
        <w:t xml:space="preserve"> </w:t>
      </w:r>
      <w:r>
        <w:rPr>
          <w:rFonts w:hint="eastAsia" w:ascii="黑体" w:eastAsia="黑体"/>
          <w:b/>
          <w:bCs/>
          <w:sz w:val="40"/>
          <w:szCs w:val="28"/>
          <w:lang w:val="en-US" w:eastAsia="zh-CN"/>
        </w:rPr>
        <w:t xml:space="preserve">  </w:t>
      </w:r>
      <w:r>
        <w:rPr>
          <w:rFonts w:hint="eastAsia" w:ascii="黑体" w:eastAsia="黑体"/>
          <w:b/>
          <w:bCs/>
          <w:sz w:val="40"/>
          <w:szCs w:val="28"/>
        </w:rPr>
        <w:t>说明书</w:t>
      </w:r>
    </w:p>
    <w:p>
      <w:pPr>
        <w:pStyle w:val="2"/>
        <w:ind w:firstLine="0" w:firstLineChars="0"/>
        <w:rPr>
          <w:rFonts w:hint="eastAsia"/>
          <w:b/>
          <w:bCs/>
        </w:rPr>
      </w:pPr>
    </w:p>
    <w:p>
      <w:pPr>
        <w:pStyle w:val="2"/>
        <w:ind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一、产品概述</w:t>
      </w:r>
    </w:p>
    <w:p>
      <w:pPr>
        <w:pStyle w:val="2"/>
        <w:spacing w:line="360" w:lineRule="auto"/>
        <w:rPr>
          <w:rFonts w:hint="eastAsia" w:ascii="微软雅黑 Light" w:hAnsi="微软雅黑 Light" w:eastAsia="微软雅黑 Light" w:cs="微软雅黑 Light"/>
          <w:b w:val="0"/>
          <w:bCs w:val="0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sz w:val="28"/>
          <w:szCs w:val="28"/>
          <w:lang w:eastAsia="zh-CN"/>
        </w:rPr>
        <w:t>电热恒温水槽</w:t>
      </w:r>
      <w:r>
        <w:rPr>
          <w:rFonts w:hint="eastAsia" w:ascii="微软雅黑 Light" w:hAnsi="微软雅黑 Light" w:eastAsia="微软雅黑 Light" w:cs="微软雅黑 Light"/>
          <w:b w:val="0"/>
          <w:bCs w:val="0"/>
          <w:sz w:val="28"/>
          <w:szCs w:val="28"/>
        </w:rPr>
        <w:t>主要用于蒸馏、干燥、浓缩及温渍化学药品或生物产品，是各大中院校、科研企业事业单位实验室及化验室的常规必备产品。</w:t>
      </w:r>
    </w:p>
    <w:p>
      <w:pPr>
        <w:pStyle w:val="2"/>
        <w:spacing w:line="360" w:lineRule="auto"/>
        <w:rPr>
          <w:rFonts w:hint="eastAsia" w:ascii="宋体" w:hAnsi="宋体" w:eastAsia="宋体" w:cs="宋体"/>
        </w:rPr>
      </w:pPr>
    </w:p>
    <w:p>
      <w:pPr>
        <w:numPr>
          <w:ilvl w:val="0"/>
          <w:numId w:val="0"/>
        </w:numPr>
        <w:spacing w:line="400" w:lineRule="exact"/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  <w:t>二、产品特点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采用不锈钢内胆，外观新颖美观。</w:t>
      </w:r>
    </w:p>
    <w:p>
      <w:pPr>
        <w:spacing w:line="360" w:lineRule="auto"/>
        <w:jc w:val="left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2.数显、微电脑控制，带定时功能。</w:t>
      </w:r>
    </w:p>
    <w:p>
      <w:pPr>
        <w:spacing w:line="360" w:lineRule="auto"/>
        <w:jc w:val="left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3.超温声光跟踪报警，使样品得到可靠保护。</w:t>
      </w:r>
    </w:p>
    <w:p>
      <w:pPr>
        <w:spacing w:line="360" w:lineRule="auto"/>
        <w:jc w:val="left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4.采用不锈钢内胆和顶盖，防腐蚀，易清洁。</w:t>
      </w:r>
    </w:p>
    <w:p>
      <w:pPr>
        <w:spacing w:line="360" w:lineRule="auto"/>
        <w:jc w:val="left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5.多段可编程控制器（选配）</w:t>
      </w:r>
    </w:p>
    <w:p>
      <w:pPr>
        <w:spacing w:line="360" w:lineRule="auto"/>
        <w:ind w:firstLine="280" w:firstLineChars="100"/>
        <w:jc w:val="left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微电脑程序控制器，时间及升温速率，以极快的速度进行恒温试验。</w:t>
      </w:r>
    </w:p>
    <w:p>
      <w:pPr>
        <w:spacing w:line="360" w:lineRule="auto"/>
        <w:ind w:firstLine="280" w:firstLineChars="100"/>
        <w:jc w:val="left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可预设7段63步可编程序，每段9步，每段设置时间1~99小时59分。可预设开机和关机时间，循环泵转速可调。</w:t>
      </w:r>
    </w:p>
    <w:p>
      <w:pPr>
        <w:spacing w:line="360" w:lineRule="auto"/>
        <w:jc w:val="left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多段可编程控制，菜单式操作界面，可以简化复杂的实验过程，真正实现自动控制和运行。</w:t>
      </w:r>
    </w:p>
    <w:p>
      <w:pPr>
        <w:numPr>
          <w:ilvl w:val="0"/>
          <w:numId w:val="0"/>
        </w:numPr>
        <w:spacing w:line="400" w:lineRule="exact"/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spacing w:line="400" w:lineRule="exact"/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  <w:t>三、产品结构</w:t>
      </w:r>
    </w:p>
    <w:p>
      <w:pPr>
        <w:spacing w:line="360" w:lineRule="auto"/>
        <w:jc w:val="left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本产品采用水槽式，内胆采用进口不锈钢板焊接（或一次冲压成形）外壳选用优质冷轧板并进行烘漆工艺，表面光亮耐磨，电热管夹在水中间，加热快，热效率高，耗电低，电子恒温范围：室温+5～99.9℃，根据使用需要可以调节定温。</w:t>
      </w:r>
    </w:p>
    <w:p>
      <w:pPr>
        <w:spacing w:line="360" w:lineRule="auto"/>
        <w:ind w:firstLine="321" w:firstLineChars="1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  <w:t>四、技术参数</w:t>
      </w:r>
    </w:p>
    <w:tbl>
      <w:tblPr>
        <w:tblStyle w:val="4"/>
        <w:tblpPr w:leftFromText="180" w:rightFromText="180" w:vertAnchor="text" w:horzAnchor="page" w:tblpX="629" w:tblpY="162"/>
        <w:tblOverlap w:val="never"/>
        <w:tblW w:w="10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816"/>
        <w:gridCol w:w="2232"/>
        <w:gridCol w:w="2541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343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名称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ind w:firstLine="2940" w:firstLineChars="140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电热恒温水槽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43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型号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DK-8AXX</w:t>
            </w:r>
          </w:p>
        </w:tc>
        <w:tc>
          <w:tcPr>
            <w:tcW w:w="2541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DK-8AX</w:t>
            </w:r>
          </w:p>
        </w:tc>
        <w:tc>
          <w:tcPr>
            <w:tcW w:w="2375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DK-8AD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43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恒温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方式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tabs>
                <w:tab w:val="left" w:pos="2218"/>
              </w:tabs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底部加热水温自然对流传递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1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能</w:t>
            </w: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使用温度范围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室温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+5~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99.9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显示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分辨率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温控精度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±0.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温度波动度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61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结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构</w:t>
            </w: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水槽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抗腐蚀304不锈钢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外壳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抗腐蚀304不锈钢</w:t>
            </w:r>
          </w:p>
        </w:tc>
        <w:tc>
          <w:tcPr>
            <w:tcW w:w="2541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抗腐蚀304不锈钢</w:t>
            </w:r>
          </w:p>
        </w:tc>
        <w:tc>
          <w:tcPr>
            <w:tcW w:w="237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抗腐蚀304不锈钢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额定功率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800W</w:t>
            </w:r>
          </w:p>
        </w:tc>
        <w:tc>
          <w:tcPr>
            <w:tcW w:w="2541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1000W</w:t>
            </w:r>
          </w:p>
        </w:tc>
        <w:tc>
          <w:tcPr>
            <w:tcW w:w="2375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1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器</w:t>
            </w: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温度控制方式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PID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温度设定方式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触摸式按键设定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温度显示方式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三位数码管显示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加热方式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U型加热管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附加功能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偏差修正、菜单按键锁定、停电补偿、停电记忆、PID可调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传感器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热敏电阻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343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安全装置</w:t>
            </w:r>
          </w:p>
        </w:tc>
        <w:tc>
          <w:tcPr>
            <w:tcW w:w="71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超温报警、短路保护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过热保护、声光报警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1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规格</w:t>
            </w: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内尺寸（mm）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300*240*160</w:t>
            </w:r>
          </w:p>
        </w:tc>
        <w:tc>
          <w:tcPr>
            <w:tcW w:w="2541" w:type="dxa"/>
            <w:noWrap w:val="0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450*300*190</w:t>
            </w:r>
          </w:p>
        </w:tc>
        <w:tc>
          <w:tcPr>
            <w:tcW w:w="2375" w:type="dxa"/>
            <w:noWrap w:val="0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600*300*190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外尺寸（mm）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370*310*330</w:t>
            </w:r>
          </w:p>
        </w:tc>
        <w:tc>
          <w:tcPr>
            <w:tcW w:w="2541" w:type="dxa"/>
            <w:noWrap w:val="0"/>
            <w:vAlign w:val="top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520*370*360</w:t>
            </w:r>
          </w:p>
        </w:tc>
        <w:tc>
          <w:tcPr>
            <w:tcW w:w="2375" w:type="dxa"/>
            <w:noWrap w:val="0"/>
            <w:vAlign w:val="top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670*370*360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开口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尺寸（mm）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300*240</w:t>
            </w:r>
          </w:p>
        </w:tc>
        <w:tc>
          <w:tcPr>
            <w:tcW w:w="2541" w:type="dxa"/>
            <w:noWrap w:val="0"/>
            <w:vAlign w:val="top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450*300</w:t>
            </w:r>
          </w:p>
        </w:tc>
        <w:tc>
          <w:tcPr>
            <w:tcW w:w="2375" w:type="dxa"/>
            <w:noWrap w:val="0"/>
            <w:vAlign w:val="top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600*300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内容积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11L</w:t>
            </w:r>
          </w:p>
        </w:tc>
        <w:tc>
          <w:tcPr>
            <w:tcW w:w="2541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25L</w:t>
            </w:r>
          </w:p>
        </w:tc>
        <w:tc>
          <w:tcPr>
            <w:tcW w:w="2375" w:type="dxa"/>
            <w:noWrap w:val="0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61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上盖材质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304不锈钢</w:t>
            </w:r>
          </w:p>
        </w:tc>
        <w:tc>
          <w:tcPr>
            <w:tcW w:w="2541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304不锈钢</w:t>
            </w:r>
          </w:p>
        </w:tc>
        <w:tc>
          <w:tcPr>
            <w:tcW w:w="237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304不锈钢</w:t>
            </w: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ind w:firstLine="321" w:firstLineChars="100"/>
        <w:jc w:val="left"/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  <w:t>五、使用方法：</w:t>
      </w:r>
    </w:p>
    <w:p>
      <w:pPr>
        <w:pStyle w:val="6"/>
        <w:widowControl/>
        <w:numPr>
          <w:ilvl w:val="0"/>
          <w:numId w:val="2"/>
        </w:numPr>
        <w:ind w:firstLineChars="0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仪表通电后，上排显示InP,下排显示分度号，表示输入类型。经过2秒钟后，上排显示量程上限，下排显示量程下限，表示测量范围。再经过2秒钟后，上排显示测量值，下排显示设定值，进入正常工作状态。</w:t>
      </w:r>
    </w:p>
    <w:p>
      <w:pPr>
        <w:pStyle w:val="6"/>
        <w:widowControl/>
        <w:numPr>
          <w:ilvl w:val="0"/>
          <w:numId w:val="2"/>
        </w:numPr>
        <w:ind w:firstLineChars="0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温度的设定：按功能键，上排显示SP，按▲按▼键，使下排显示为所需要的设定温度值。再按设定键恒温时间设置，再按设定键回到标准模式。</w:t>
      </w:r>
    </w:p>
    <w:p>
      <w:pPr>
        <w:pStyle w:val="6"/>
        <w:widowControl/>
        <w:numPr>
          <w:ilvl w:val="0"/>
          <w:numId w:val="2"/>
        </w:numPr>
        <w:ind w:firstLineChars="0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控制参数的设定：按功能键4秒钟以上，上排显示控制参数的提示符(详见控制参数一览表)，按▲或▼键，使下排显示为所需要的值。继续按功能键，上排依次显示各参数的提示符，按▲或▼键，使各控制参数为所需要的值，再按功能键4秒钟以上，回到标准模式。(无键按下1分钟后自动返回到标准模式)</w:t>
      </w:r>
    </w:p>
    <w:p>
      <w:pPr>
        <w:pStyle w:val="6"/>
        <w:widowControl/>
        <w:numPr>
          <w:ilvl w:val="0"/>
          <w:numId w:val="2"/>
        </w:numPr>
        <w:ind w:firstLineChars="0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若上排数码管显示的下边出现LLL则说明热电偶接反，上边出现HHH则说明热电偶/热电阻开路或温度超过测量范围。</w:t>
      </w:r>
    </w:p>
    <w:p>
      <w:pPr>
        <w:pStyle w:val="6"/>
        <w:widowControl/>
        <w:numPr>
          <w:ilvl w:val="0"/>
          <w:numId w:val="2"/>
        </w:numPr>
        <w:ind w:firstLineChars="0"/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沸点功能：当选择水浴锅时，设定温度&gt;=95度时，加热全输出，使水沸腾。</w:t>
      </w:r>
    </w:p>
    <w:p>
      <w:pPr>
        <w:pStyle w:val="6"/>
        <w:widowControl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kern w:val="2"/>
          <w:sz w:val="28"/>
          <w:szCs w:val="28"/>
          <w:lang w:val="en-US" w:eastAsia="zh-CN" w:bidi="ar-SA"/>
        </w:rPr>
        <w:t>自整定功能：按◄键5秒后运行指示灯闪烁，控制器开始自整定，自整定结束后运行指示灯长亮，得出一组最佳的PID参数，控制器按新的PID参数进行控制。</w:t>
      </w:r>
    </w:p>
    <w:p>
      <w:pPr>
        <w:pStyle w:val="6"/>
        <w:widowControl/>
        <w:numPr>
          <w:ilvl w:val="0"/>
          <w:numId w:val="0"/>
        </w:numPr>
        <w:tabs>
          <w:tab w:val="center" w:pos="4153"/>
        </w:tabs>
        <w:ind w:leftChars="0"/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b/>
          <w:bCs/>
          <w:kern w:val="0"/>
          <w:sz w:val="28"/>
          <w:szCs w:val="28"/>
        </w:rPr>
        <w:t>各功能参数览表</w:t>
      </w:r>
      <w:r>
        <w:rPr>
          <w:rFonts w:hint="eastAsia" w:cs="Times New Roman"/>
          <w:b/>
          <w:bCs/>
          <w:kern w:val="0"/>
          <w:sz w:val="28"/>
          <w:szCs w:val="28"/>
          <w:lang w:eastAsia="zh-CN"/>
        </w:rPr>
        <w:tab/>
      </w:r>
    </w:p>
    <w:tbl>
      <w:tblPr>
        <w:tblStyle w:val="4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77"/>
        <w:gridCol w:w="1953"/>
        <w:gridCol w:w="4469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提示符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设定范围</w:t>
            </w:r>
          </w:p>
        </w:tc>
        <w:tc>
          <w:tcPr>
            <w:tcW w:w="446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说明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初始值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AL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报警设置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0…量程</w:t>
            </w:r>
            <w:r>
              <w:rPr>
                <w:rFonts w:hint="eastAsia" w:ascii="宋体" w:hAnsi="宋体" w:eastAsia="宋体" w:cs="宋体"/>
              </w:rPr>
              <w:t>℃</w:t>
            </w:r>
          </w:p>
        </w:tc>
        <w:tc>
          <w:tcPr>
            <w:tcW w:w="446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报警设定，报警不灵敏区为0.4固定值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比例带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1.0…300</w:t>
            </w:r>
            <w:r>
              <w:rPr>
                <w:rFonts w:hint="eastAsia" w:ascii="宋体" w:hAnsi="宋体" w:eastAsia="宋体" w:cs="宋体"/>
              </w:rPr>
              <w:t>℃</w:t>
            </w:r>
          </w:p>
        </w:tc>
        <w:tc>
          <w:tcPr>
            <w:tcW w:w="446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比例作用调节，P越大比例作用越小，系统增益越低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I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积分时间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20…999秒</w:t>
            </w:r>
          </w:p>
        </w:tc>
        <w:tc>
          <w:tcPr>
            <w:tcW w:w="446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积分作用时间常数，I越大，积分作用越弱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微分时间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0---999秒</w:t>
            </w:r>
          </w:p>
        </w:tc>
        <w:tc>
          <w:tcPr>
            <w:tcW w:w="446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微分作用时间常数，D越大，微分作用越强，并可克服超调，D=0PI控制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Ar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过冲抑制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0(0.0)-100%(100.0%)</w:t>
            </w:r>
          </w:p>
        </w:tc>
        <w:tc>
          <w:tcPr>
            <w:tcW w:w="446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PID：用于抑制超调，Ar确定为：1.5~2倍的稳态输出占空比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控制周期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1…100秒</w:t>
            </w:r>
          </w:p>
        </w:tc>
        <w:tc>
          <w:tcPr>
            <w:tcW w:w="446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继电器输出</w:t>
            </w:r>
            <w:r>
              <w:rPr>
                <w:position w:val="-4"/>
              </w:rPr>
              <w:object>
                <v:shape id="_x0000_i1025" o:spt="75" type="#_x0000_t75" style="height:12.1pt;width:8.0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</w:rPr>
              <w:t>20s,SSR和可控硅开关</w:t>
            </w:r>
            <w:r>
              <w:rPr>
                <w:position w:val="-4"/>
              </w:rPr>
              <w:object>
                <v:shape id="_x0000_i1026" o:spt="75" type="#_x0000_t75" style="height:12.1pt;width:8.0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</w:rPr>
              <w:t>3s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Pb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测量值修正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全量程</w:t>
            </w:r>
          </w:p>
        </w:tc>
        <w:tc>
          <w:tcPr>
            <w:tcW w:w="446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用修正由传感器、热电偶补偿导线所产生的测量误差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PK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自整定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0、1</w:t>
            </w:r>
          </w:p>
        </w:tc>
        <w:tc>
          <w:tcPr>
            <w:tcW w:w="446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0关自整定1开自整定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LK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密码锁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0、1、2</w:t>
            </w:r>
          </w:p>
        </w:tc>
        <w:tc>
          <w:tcPr>
            <w:tcW w:w="446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</w:t>
            </w:r>
            <w:r>
              <w:rPr>
                <w:rFonts w:hint="eastAsia" w:ascii="Times New Roman" w:hAnsi="Times New Roman" w:eastAsia="宋体" w:cs="Times New Roman"/>
              </w:rPr>
              <w:t>：</w:t>
            </w:r>
            <w:r>
              <w:rPr>
                <w:rFonts w:ascii="Times New Roman" w:hAnsi="Times New Roman" w:eastAsia="宋体" w:cs="Times New Roman"/>
              </w:rPr>
              <w:t>不锁定，1</w:t>
            </w:r>
            <w:r>
              <w:rPr>
                <w:rFonts w:hint="eastAsia" w:ascii="Times New Roman" w:hAnsi="Times New Roman" w:eastAsia="宋体" w:cs="Times New Roman"/>
              </w:rPr>
              <w:t>：</w:t>
            </w:r>
            <w:r>
              <w:rPr>
                <w:rFonts w:ascii="Times New Roman" w:hAnsi="Times New Roman" w:eastAsia="宋体" w:cs="Times New Roman"/>
              </w:rPr>
              <w:t>锁定除设定值外参数</w:t>
            </w:r>
            <w:r>
              <w:rPr>
                <w:rFonts w:hint="eastAsia" w:ascii="Times New Roman" w:hAnsi="Times New Roman" w:eastAsia="宋体" w:cs="Times New Roman"/>
              </w:rPr>
              <w:t>，</w:t>
            </w:r>
            <w:r>
              <w:rPr>
                <w:rFonts w:ascii="Times New Roman" w:hAnsi="Times New Roman" w:eastAsia="宋体" w:cs="Times New Roman"/>
              </w:rPr>
              <w:t>2</w:t>
            </w:r>
            <w:r>
              <w:rPr>
                <w:rFonts w:hint="eastAsia" w:ascii="Times New Roman" w:hAnsi="Times New Roman" w:eastAsia="宋体" w:cs="Times New Roman"/>
              </w:rPr>
              <w:t>：</w:t>
            </w:r>
            <w:r>
              <w:rPr>
                <w:rFonts w:ascii="Times New Roman" w:hAnsi="Times New Roman" w:eastAsia="宋体" w:cs="Times New Roman"/>
              </w:rPr>
              <w:t>锁定所有参数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</w:t>
            </w:r>
          </w:p>
        </w:tc>
      </w:tr>
    </w:tbl>
    <w:p>
      <w:pPr>
        <w:ind w:left="439" w:leftChars="209" w:firstLine="420" w:firstLineChars="200"/>
        <w:rPr>
          <w:rFonts w:hint="eastAsia" w:ascii="宋体" w:hAnsi="宋体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spacing w:line="360" w:lineRule="auto"/>
        <w:ind w:firstLine="321" w:firstLineChars="100"/>
        <w:jc w:val="left"/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  <w:t>六、异常与处理</w:t>
      </w:r>
    </w:p>
    <w:tbl>
      <w:tblPr>
        <w:tblStyle w:val="3"/>
        <w:tblpPr w:leftFromText="180" w:rightFromText="180" w:vertAnchor="text" w:horzAnchor="page" w:tblpX="1735" w:tblpY="302"/>
        <w:tblOverlap w:val="never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690"/>
        <w:gridCol w:w="371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   象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可能存在的故障点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显示正常但不加热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设定值低于实际测量温度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查看设定值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加热灯亮但不升温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加热管断线或输出继电器损坏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检查并排除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显示LLL并闪烁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测量温度低于-5℃或探温头断线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检查并排除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显示99.9并闪烁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测量液体温度高于仪表测量上限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或仪表探温线短路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检查并排除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温度过冲较大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P值太小或探温头位置偏低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调整并排除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升温速度很慢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P值太大或加热体功率偏小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调整并排除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温度小幅波动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P值偏大或T太大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调整并排除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显示温度误差很大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探温头进水或探温头位置移动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干燥探温头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显示正常温度失控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控制加热体的线路短路或断路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检查并排除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显示的数据暗淡且抖动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工作电压偏低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检查工作电压</w:t>
            </w:r>
          </w:p>
        </w:tc>
      </w:tr>
    </w:tbl>
    <w:p>
      <w:pPr>
        <w:rPr>
          <w:rFonts w:hint="eastAsia" w:ascii="宋体" w:hAnsi="宋体"/>
        </w:rPr>
      </w:pPr>
    </w:p>
    <w:p>
      <w:pPr>
        <w:numPr>
          <w:ilvl w:val="0"/>
          <w:numId w:val="0"/>
        </w:numPr>
        <w:ind w:left="180" w:leftChars="0"/>
        <w:rPr>
          <w:rFonts w:hint="eastAsia"/>
          <w:b/>
          <w:bCs/>
          <w:color w:val="000000"/>
          <w:sz w:val="28"/>
        </w:rPr>
      </w:pPr>
    </w:p>
    <w:p>
      <w:pPr>
        <w:spacing w:line="360" w:lineRule="auto"/>
        <w:ind w:firstLine="321" w:firstLineChars="100"/>
        <w:jc w:val="left"/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  <w:t>七、面板示意图</w:t>
      </w:r>
    </w:p>
    <w:p>
      <w:pPr>
        <w:numPr>
          <w:ilvl w:val="0"/>
          <w:numId w:val="0"/>
        </w:numPr>
        <w:ind w:left="180" w:leftChars="0"/>
        <w:rPr>
          <w:rFonts w:hint="eastAsia"/>
          <w:b/>
          <w:bCs/>
          <w:color w:val="000000"/>
          <w:sz w:val="28"/>
        </w:rPr>
      </w:pPr>
    </w:p>
    <w:p>
      <w:pPr>
        <w:ind w:left="1021" w:leftChars="86" w:hanging="840" w:hangingChars="400"/>
        <w:rPr>
          <w:rFonts w:hint="eastAsia" w:ascii="宋体" w:hAnsi="宋体"/>
          <w:sz w:val="24"/>
          <w:szCs w:val="24"/>
        </w:rPr>
      </w:pPr>
      <w:r>
        <w:rPr>
          <w:rFonts w:hint="eastAsia"/>
        </w:rPr>
        <w:t xml:space="preserve">             </w:t>
      </w:r>
      <w:r>
        <w:rPr>
          <w:rFonts w:hint="eastAsia" w:ascii="宋体" w:hAnsi="宋体"/>
          <w:sz w:val="24"/>
          <w:szCs w:val="24"/>
        </w:rPr>
        <w:drawing>
          <wp:inline distT="0" distB="0" distL="114300" distR="114300">
            <wp:extent cx="3830320" cy="2099945"/>
            <wp:effectExtent l="0" t="0" r="17780" b="14605"/>
            <wp:docPr id="2" name="图片 4" descr="QQ图片2017071210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QQ图片201707121033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</w:t>
      </w:r>
    </w:p>
    <w:p>
      <w:pPr>
        <w:rPr>
          <w:rFonts w:hint="eastAsia"/>
          <w:b/>
          <w:bCs/>
          <w:color w:val="000000"/>
          <w:sz w:val="28"/>
          <w:lang w:val="en-US" w:eastAsia="zh-CN"/>
        </w:rPr>
      </w:pPr>
    </w:p>
    <w:p>
      <w:pPr>
        <w:spacing w:line="360" w:lineRule="auto"/>
        <w:jc w:val="left"/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  <w:t>八、操作流程图</w:t>
      </w:r>
    </w:p>
    <w:p>
      <w:pPr>
        <w:ind w:firstLine="840" w:firstLineChars="350"/>
        <w:rPr>
          <w:rFonts w:hint="eastAsia" w:ascii="宋体" w:hAnsi="宋体"/>
          <w:sz w:val="24"/>
          <w:szCs w:val="24"/>
        </w:rPr>
      </w:pPr>
    </w:p>
    <w:p>
      <w:pPr>
        <w:ind w:firstLine="720" w:firstLineChars="300"/>
      </w:pPr>
      <w:r>
        <w:rPr>
          <w:rFonts w:hint="eastAsia" w:ascii="宋体" w:hAnsi="宋体"/>
          <w:sz w:val="24"/>
          <w:szCs w:val="24"/>
        </w:rPr>
        <w:t xml:space="preserve">   </w:t>
      </w:r>
      <w:r>
        <w:object>
          <v:shape id="_x0000_i1027" o:spt="75" type="#_x0000_t75" style="height:219.9pt;width:303.1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CorelDRAW.Graphic.9" ShapeID="_x0000_i1027" DrawAspect="Content" ObjectID="_1468075727" r:id="rId9">
            <o:LockedField>false</o:LockedField>
          </o:OLEObject>
        </w:object>
      </w:r>
    </w:p>
    <w:p>
      <w:pPr>
        <w:ind w:firstLine="630" w:firstLineChars="300"/>
        <w:rPr>
          <w:rFonts w:hint="eastAsia"/>
          <w:lang w:val="en-US" w:eastAsia="zh-CN"/>
        </w:rPr>
      </w:pPr>
    </w:p>
    <w:p>
      <w:pPr>
        <w:spacing w:line="360" w:lineRule="auto"/>
        <w:jc w:val="left"/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宋体"/>
          <w:b/>
          <w:bCs/>
          <w:kern w:val="2"/>
          <w:sz w:val="32"/>
          <w:szCs w:val="32"/>
          <w:lang w:val="en-US" w:eastAsia="zh-CN" w:bidi="ar-SA"/>
        </w:rPr>
        <w:t>九、注意事项</w:t>
      </w:r>
    </w:p>
    <w:p>
      <w:pPr>
        <w:spacing w:line="360" w:lineRule="auto"/>
        <w:ind w:firstLine="720" w:firstLineChars="30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1、该产品使用220伏交流电，电源采用三脚安全插头，其中一只最长的脚，为安全接地脚，为此对应使用的三眼插座应妥善接地。</w:t>
      </w:r>
    </w:p>
    <w:p>
      <w:pPr>
        <w:spacing w:line="360" w:lineRule="auto"/>
        <w:ind w:firstLine="720" w:firstLineChars="30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2、水箱在加水时，水量不能少于最低水位（即不能使电热管露出水面），以免烧坏电热管，造成漏电、漏水。但也不要加得过多，以免沸腾时水量溢出表面。</w:t>
      </w:r>
    </w:p>
    <w:p>
      <w:pPr>
        <w:spacing w:line="360" w:lineRule="auto"/>
        <w:ind w:firstLine="720" w:firstLineChars="30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3、由于水箱内加温时水温上下温差较大，所以当需用温度计测量时，一定要待水温在稳定状态时测量。</w:t>
      </w:r>
    </w:p>
    <w:p>
      <w:pPr>
        <w:spacing w:line="360" w:lineRule="auto"/>
        <w:ind w:firstLine="720" w:firstLineChars="30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4、加热管之间有一根不锈钢金属棒作温度传感器，切勿碰撞，以免控温失灵。</w:t>
      </w:r>
    </w:p>
    <w:p>
      <w:pPr>
        <w:spacing w:line="360" w:lineRule="auto"/>
        <w:ind w:firstLine="720" w:firstLineChars="300"/>
        <w:rPr>
          <w:rFonts w:hint="eastAsia" w:ascii="宋体" w:hAnsi="宋体" w:cs="Times New Roman"/>
          <w:sz w:val="24"/>
          <w:szCs w:val="24"/>
        </w:rPr>
      </w:pPr>
    </w:p>
    <w:p>
      <w:pPr>
        <w:spacing w:line="420" w:lineRule="exact"/>
        <w:rPr>
          <w:rFonts w:hint="eastAsia"/>
          <w:sz w:val="24"/>
        </w:rPr>
      </w:pPr>
    </w:p>
    <w:p>
      <w:pPr>
        <w:spacing w:line="420" w:lineRule="exact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904" w:firstLineChars="500"/>
        <w:jc w:val="both"/>
        <w:textAlignment w:val="auto"/>
        <w:outlineLvl w:val="9"/>
        <w:rPr>
          <w:rFonts w:hint="eastAsia" w:ascii="黑体" w:eastAsia="黑体"/>
          <w:b/>
          <w:bCs/>
          <w:color w:val="000000"/>
          <w:sz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18"/>
          <w:lang w:val="en-US" w:eastAsia="zh-CN"/>
        </w:rPr>
        <w:t xml:space="preserve">   </w:t>
      </w:r>
      <w:r>
        <w:rPr>
          <w:rFonts w:hint="eastAsia" w:ascii="黑体" w:eastAsia="黑体"/>
          <w:b/>
          <w:bCs/>
          <w:color w:val="000000"/>
          <w:sz w:val="36"/>
          <w:lang w:eastAsia="zh-CN"/>
        </w:rPr>
        <w:t>生产商：宁国沙鹰科学仪器有限公司</w:t>
      </w:r>
    </w:p>
    <w:p>
      <w:pPr>
        <w:jc w:val="center"/>
        <w:rPr>
          <w:rFonts w:hint="eastAsia"/>
          <w:sz w:val="24"/>
        </w:rPr>
      </w:pPr>
      <w:r>
        <w:rPr>
          <w:rFonts w:hint="eastAsia" w:ascii="黑体" w:eastAsia="黑体"/>
          <w:b/>
          <w:bCs/>
          <w:color w:val="000000"/>
          <w:sz w:val="36"/>
          <w:lang w:eastAsia="zh-CN"/>
        </w:rPr>
        <w:t>运营商：沙鹰科学仪器（上海）有限公司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0C401"/>
    <w:multiLevelType w:val="singleLevel"/>
    <w:tmpl w:val="0200C4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211B6F"/>
    <w:multiLevelType w:val="multilevel"/>
    <w:tmpl w:val="7A211B6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ODllNmMwMzg5YjAzMDNjZjYwYTcyMGE4MTFjYTIifQ=="/>
  </w:docVars>
  <w:rsids>
    <w:rsidRoot w:val="2A51326A"/>
    <w:rsid w:val="1A1C1B01"/>
    <w:rsid w:val="2A51326A"/>
    <w:rsid w:val="34882E46"/>
    <w:rsid w:val="43D2445F"/>
    <w:rsid w:val="555C5AB7"/>
    <w:rsid w:val="7B9E7D65"/>
    <w:rsid w:val="7ED0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20" w:lineRule="exact"/>
      <w:ind w:firstLine="480" w:firstLineChars="200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jpeg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1981</Words>
  <Characters>2240</Characters>
  <Lines>0</Lines>
  <Paragraphs>0</Paragraphs>
  <TotalTime>1</TotalTime>
  <ScaleCrop>false</ScaleCrop>
  <LinksUpToDate>false</LinksUpToDate>
  <CharactersWithSpaces>2278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2021-11-29T08:59:00Z</dcterms:created>
  <dc:creator>恒温水浴</dc:creator>
  <cp:lastModifiedBy>沙鹰张俊18021042390</cp:lastModifiedBy>
  <cp:lastPrinted>2022-01-24T06:10:00Z</cp:lastPrinted>
  <dcterms:modified xsi:type="dcterms:W3CDTF">2023-07-05T01:38:20Z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D922590CE5AB45EE8CBB7B91594F9D90_13</vt:lpwstr>
  </property>
</Properties>
</file>