
<file path=[Content_Types].xml><?xml version="1.0" encoding="utf-8"?>
<Types xmlns="http://schemas.openxmlformats.org/package/2006/content-types">
  <Default Extension="xml" ContentType="application/xml"/>
  <Default Extension="jpeg" ContentType="image/jpeg"/>
  <Default Extension="tiff" ContentType="image/tif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sz w:val="52"/>
        </w:rPr>
      </w:pPr>
      <w:bookmarkStart w:id="0" w:name="_GoBack"/>
      <w:bookmarkEnd w:id="0"/>
      <w:r>
        <w:rPr>
          <w:rFonts w:hint="eastAsia"/>
          <w:sz w:val="52"/>
        </w:rPr>
        <w:t>S450近红外光谱分析仪</w:t>
      </w:r>
    </w:p>
    <w:p>
      <w:pPr>
        <w:jc w:val="left"/>
        <w:rPr>
          <w:sz w:val="24"/>
          <w:szCs w:val="24"/>
        </w:rPr>
      </w:pPr>
      <w:r>
        <w:rPr>
          <w:sz w:val="24"/>
          <w:szCs w:val="24"/>
        </w:rPr>
        <w:t>仪器简介</w:t>
      </w:r>
    </w:p>
    <w:p>
      <w:pPr>
        <w:ind w:firstLine="420"/>
        <w:rPr>
          <w:sz w:val="24"/>
          <w:szCs w:val="24"/>
        </w:rPr>
      </w:pPr>
      <w:r>
        <w:rPr>
          <w:rFonts w:hint="eastAsia"/>
          <w:sz w:val="24"/>
          <w:szCs w:val="24"/>
        </w:rPr>
        <w:t>上海棱光技术有限公司新一代光栅扫描型的近红外光谱分析仪，是在前代产品基础上完善软硬件，精益求精，达到了更快更准更稳定的水平。可广泛应用于农业、食品、烟草、制药和工业样品的精准分析。</w:t>
      </w:r>
    </w:p>
    <w:p>
      <w:pPr>
        <w:widowControl/>
        <w:jc w:val="left"/>
        <w:rPr>
          <w:sz w:val="32"/>
        </w:rPr>
      </w:pPr>
      <w:r>
        <w:rPr>
          <w:sz w:val="32"/>
        </w:rPr>
        <w:drawing>
          <wp:anchor distT="0" distB="0" distL="114300" distR="114300" simplePos="0" relativeHeight="251686912" behindDoc="1" locked="0" layoutInCell="1" allowOverlap="1">
            <wp:simplePos x="0" y="0"/>
            <wp:positionH relativeFrom="column">
              <wp:posOffset>771525</wp:posOffset>
            </wp:positionH>
            <wp:positionV relativeFrom="paragraph">
              <wp:posOffset>70485</wp:posOffset>
            </wp:positionV>
            <wp:extent cx="4111625" cy="3248025"/>
            <wp:effectExtent l="19050" t="0" r="3175"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a:xfrm>
                      <a:off x="0" y="0"/>
                      <a:ext cx="4111625" cy="3248025"/>
                    </a:xfrm>
                    <a:prstGeom prst="rect">
                      <a:avLst/>
                    </a:prstGeom>
                    <a:noFill/>
                    <a:ln>
                      <a:noFill/>
                    </a:ln>
                  </pic:spPr>
                </pic:pic>
              </a:graphicData>
            </a:graphic>
          </wp:anchor>
        </w:drawing>
      </w:r>
    </w:p>
    <w:p>
      <w:pPr>
        <w:widowControl/>
        <w:jc w:val="left"/>
        <w:rPr>
          <w:sz w:val="32"/>
        </w:rPr>
      </w:pPr>
    </w:p>
    <w:p>
      <w:pPr>
        <w:widowControl/>
        <w:jc w:val="left"/>
        <w:rPr>
          <w:sz w:val="32"/>
        </w:rPr>
      </w:pPr>
    </w:p>
    <w:p>
      <w:pPr>
        <w:widowControl/>
        <w:jc w:val="left"/>
        <w:rPr>
          <w:sz w:val="32"/>
        </w:rPr>
      </w:pPr>
    </w:p>
    <w:p>
      <w:pPr>
        <w:widowControl/>
        <w:jc w:val="left"/>
        <w:rPr>
          <w:sz w:val="32"/>
        </w:rPr>
      </w:pPr>
    </w:p>
    <w:p>
      <w:pPr>
        <w:widowControl/>
        <w:jc w:val="left"/>
        <w:rPr>
          <w:sz w:val="32"/>
        </w:rPr>
      </w:pPr>
    </w:p>
    <w:p>
      <w:pPr>
        <w:widowControl/>
        <w:jc w:val="left"/>
        <w:rPr>
          <w:sz w:val="32"/>
        </w:rPr>
      </w:pPr>
    </w:p>
    <w:p>
      <w:pPr>
        <w:widowControl/>
        <w:jc w:val="left"/>
        <w:rPr>
          <w:sz w:val="32"/>
        </w:rPr>
      </w:pPr>
    </w:p>
    <w:p>
      <w:pPr>
        <w:widowControl/>
        <w:jc w:val="left"/>
        <w:rPr>
          <w:sz w:val="32"/>
        </w:rPr>
      </w:pPr>
    </w:p>
    <w:p>
      <w:r>
        <w:t>卓越的性能</w:t>
      </w:r>
    </w:p>
    <w:p>
      <w:pPr>
        <w:rPr>
          <w:sz w:val="24"/>
          <w:szCs w:val="24"/>
        </w:rPr>
      </w:pPr>
      <w:r>
        <w:rPr>
          <w:rFonts w:hint="eastAsia"/>
          <w:sz w:val="24"/>
          <w:szCs w:val="24"/>
        </w:rPr>
        <w:t>1、宽光谱范围</w:t>
      </w:r>
    </w:p>
    <w:p>
      <w:pPr>
        <w:rPr>
          <w:sz w:val="24"/>
          <w:szCs w:val="24"/>
        </w:rPr>
      </w:pPr>
      <w:r>
        <w:rPr>
          <w:rFonts w:hint="eastAsia"/>
          <w:sz w:val="24"/>
          <w:szCs w:val="24"/>
        </w:rPr>
        <w:drawing>
          <wp:anchor distT="0" distB="0" distL="114300" distR="114300" simplePos="0" relativeHeight="251709440" behindDoc="0" locked="0" layoutInCell="1" allowOverlap="1">
            <wp:simplePos x="0" y="0"/>
            <wp:positionH relativeFrom="column">
              <wp:posOffset>2314575</wp:posOffset>
            </wp:positionH>
            <wp:positionV relativeFrom="paragraph">
              <wp:posOffset>251460</wp:posOffset>
            </wp:positionV>
            <wp:extent cx="3152775" cy="1552575"/>
            <wp:effectExtent l="19050" t="0" r="9525" b="0"/>
            <wp:wrapThrough wrapText="bothSides">
              <wp:wrapPolygon>
                <wp:start x="-131" y="0"/>
                <wp:lineTo x="-131" y="21467"/>
                <wp:lineTo x="21665" y="21467"/>
                <wp:lineTo x="21665" y="0"/>
                <wp:lineTo x="-131" y="0"/>
              </wp:wrapPolygon>
            </wp:wrapThrough>
            <wp:docPr id="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
                    <pic:cNvPicPr>
                      <a:picLocks noChangeAspect="1"/>
                    </pic:cNvPicPr>
                  </pic:nvPicPr>
                  <pic:blipFill>
                    <a:blip r:embed="rId7" cstate="print"/>
                    <a:stretch>
                      <a:fillRect/>
                    </a:stretch>
                  </pic:blipFill>
                  <pic:spPr>
                    <a:xfrm>
                      <a:off x="0" y="0"/>
                      <a:ext cx="3152775" cy="1552575"/>
                    </a:xfrm>
                    <a:prstGeom prst="rect">
                      <a:avLst/>
                    </a:prstGeom>
                  </pic:spPr>
                </pic:pic>
              </a:graphicData>
            </a:graphic>
          </wp:anchor>
        </w:drawing>
      </w:r>
      <w:r>
        <w:rPr>
          <w:rFonts w:hint="eastAsia"/>
          <w:sz w:val="24"/>
          <w:szCs w:val="24"/>
        </w:rPr>
        <w:t>仪器覆盖900-2500nm超宽波长</w:t>
      </w:r>
      <w:r>
        <w:rPr>
          <w:sz w:val="24"/>
          <w:szCs w:val="24"/>
        </w:rPr>
        <w:t>范围</w:t>
      </w:r>
      <w:r>
        <w:rPr>
          <w:rFonts w:hint="eastAsia"/>
          <w:sz w:val="24"/>
          <w:szCs w:val="24"/>
        </w:rPr>
        <w:t>，可以同时检出多项成份指标，如水分、脂肪、蛋白质和氨基酸等。</w:t>
      </w:r>
    </w:p>
    <w:p>
      <w:pPr>
        <w:rPr>
          <w:sz w:val="24"/>
          <w:szCs w:val="24"/>
        </w:rPr>
      </w:pPr>
    </w:p>
    <w:p>
      <w:pPr>
        <w:rPr>
          <w:sz w:val="24"/>
          <w:szCs w:val="24"/>
        </w:rPr>
      </w:pPr>
      <w:r>
        <w:rPr>
          <w:sz w:val="24"/>
          <w:szCs w:val="24"/>
        </w:rPr>
        <w:t>2</w:t>
      </w:r>
      <w:r>
        <w:rPr>
          <w:rFonts w:hint="eastAsia"/>
          <w:sz w:val="24"/>
          <w:szCs w:val="24"/>
        </w:rPr>
        <w:t>、自动检测</w:t>
      </w:r>
    </w:p>
    <w:p>
      <w:pPr>
        <w:rPr>
          <w:sz w:val="24"/>
          <w:szCs w:val="24"/>
        </w:rPr>
      </w:pPr>
      <w:r>
        <w:rPr>
          <w:rFonts w:hint="eastAsia"/>
          <w:sz w:val="24"/>
          <w:szCs w:val="24"/>
        </w:rPr>
        <w:t>仪器内置优质PTFE参比模块，聚苯乙烯波长标准片，自动参比校正和波长监控，有效降低漂移，提供更稳定的光谱数据。</w:t>
      </w:r>
    </w:p>
    <w:p>
      <w:pPr>
        <w:rPr>
          <w:sz w:val="24"/>
          <w:szCs w:val="24"/>
        </w:rPr>
      </w:pPr>
    </w:p>
    <w:p>
      <w:pPr>
        <w:rPr>
          <w:sz w:val="24"/>
          <w:szCs w:val="24"/>
        </w:rPr>
      </w:pPr>
    </w:p>
    <w:p>
      <w:pPr>
        <w:rPr>
          <w:sz w:val="24"/>
          <w:szCs w:val="24"/>
        </w:rPr>
      </w:pPr>
      <w:r>
        <w:rPr>
          <w:sz w:val="24"/>
          <w:szCs w:val="24"/>
        </w:rPr>
        <w:drawing>
          <wp:anchor distT="0" distB="0" distL="114300" distR="114300" simplePos="0" relativeHeight="251702272" behindDoc="0" locked="0" layoutInCell="1" allowOverlap="1">
            <wp:simplePos x="0" y="0"/>
            <wp:positionH relativeFrom="column">
              <wp:posOffset>3648075</wp:posOffset>
            </wp:positionH>
            <wp:positionV relativeFrom="paragraph">
              <wp:posOffset>158115</wp:posOffset>
            </wp:positionV>
            <wp:extent cx="1819275" cy="1570990"/>
            <wp:effectExtent l="19050" t="0" r="9525" b="0"/>
            <wp:wrapSquare wrapText="bothSides"/>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819275" cy="1570990"/>
                    </a:xfrm>
                    <a:prstGeom prst="rect">
                      <a:avLst/>
                    </a:prstGeom>
                  </pic:spPr>
                </pic:pic>
              </a:graphicData>
            </a:graphic>
          </wp:anchor>
        </w:drawing>
      </w:r>
      <w:r>
        <w:rPr>
          <w:sz w:val="24"/>
          <w:szCs w:val="24"/>
        </w:rPr>
        <w:t>3</w:t>
      </w:r>
      <w:r>
        <w:rPr>
          <w:rFonts w:hint="eastAsia"/>
          <w:sz w:val="24"/>
          <w:szCs w:val="24"/>
        </w:rPr>
        <w:t>、标配积分球漫反射系统</w:t>
      </w:r>
    </w:p>
    <w:p>
      <w:pPr>
        <w:rPr>
          <w:sz w:val="24"/>
          <w:szCs w:val="24"/>
        </w:rPr>
      </w:pPr>
      <w:r>
        <w:rPr>
          <w:sz w:val="24"/>
          <w:szCs w:val="24"/>
        </w:rPr>
        <mc:AlternateContent>
          <mc:Choice Requires="wps">
            <w:drawing>
              <wp:anchor distT="45720" distB="45720" distL="114300" distR="114300" simplePos="0" relativeHeight="251705344" behindDoc="0" locked="0" layoutInCell="1" allowOverlap="1">
                <wp:simplePos x="0" y="0"/>
                <wp:positionH relativeFrom="column">
                  <wp:posOffset>3687445</wp:posOffset>
                </wp:positionH>
                <wp:positionV relativeFrom="paragraph">
                  <wp:posOffset>990600</wp:posOffset>
                </wp:positionV>
                <wp:extent cx="627380" cy="279400"/>
                <wp:effectExtent l="0" t="0" r="0" b="0"/>
                <wp:wrapNone/>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627380" cy="279400"/>
                        </a:xfrm>
                        <a:prstGeom prst="rect">
                          <a:avLst/>
                        </a:prstGeom>
                        <a:noFill/>
                        <a:ln w="9525">
                          <a:noFill/>
                          <a:miter lim="800000"/>
                        </a:ln>
                        <a:effectLst/>
                      </wps:spPr>
                      <wps:txbx>
                        <w:txbxContent>
                          <w:p>
                            <w:r>
                              <w:rPr>
                                <w:rFonts w:hint="eastAsia"/>
                              </w:rPr>
                              <w:t>接收器</w:t>
                            </w: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290.35pt;margin-top:78pt;height:22pt;width:49.4pt;z-index:251705344;mso-width-relative:margin;mso-height-relative:margin;" filled="f" stroked="f" coordsize="21600,21600" o:gfxdata="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HVyyW1gAAAAsBAAAPAAAAAAAAAAEAIAAA&#10;ACIAAABkcnMvZG93bnJldi54bWxQSwECFAAUAAAACACHTuJALUobTA4CAADoAwAADgAAAAAAAAAB&#10;ACAAAAAlAQAAZHJzL2Uyb0RvYy54bWxQSwUGAAAAAAYABgBZAQAApQUAAAAA&#10;">
                <v:fill on="f" focussize="0,0"/>
                <v:stroke on="f" miterlimit="8" joinstyle="miter"/>
                <v:imagedata o:title=""/>
                <o:lock v:ext="edit" aspectratio="f"/>
                <v:textbox>
                  <w:txbxContent>
                    <w:p>
                      <w:r>
                        <w:rPr>
                          <w:rFonts w:hint="eastAsia"/>
                        </w:rPr>
                        <w:t>接收器</w:t>
                      </w:r>
                    </w:p>
                  </w:txbxContent>
                </v:textbox>
              </v:shape>
            </w:pict>
          </mc:Fallback>
        </mc:AlternateContent>
      </w:r>
      <w:r>
        <w:rPr>
          <w:sz w:val="24"/>
          <w:szCs w:val="24"/>
        </w:rPr>
        <mc:AlternateContent>
          <mc:Choice Requires="wps">
            <w:drawing>
              <wp:anchor distT="45720" distB="45720" distL="114300" distR="114300" simplePos="0" relativeHeight="251704320" behindDoc="0" locked="0" layoutInCell="1" allowOverlap="1">
                <wp:simplePos x="0" y="0"/>
                <wp:positionH relativeFrom="column">
                  <wp:posOffset>5040630</wp:posOffset>
                </wp:positionH>
                <wp:positionV relativeFrom="paragraph">
                  <wp:posOffset>268605</wp:posOffset>
                </wp:positionV>
                <wp:extent cx="497840" cy="259080"/>
                <wp:effectExtent l="0" t="0" r="0" b="0"/>
                <wp:wrapNone/>
                <wp:docPr id="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97840" cy="259080"/>
                        </a:xfrm>
                        <a:prstGeom prst="rect">
                          <a:avLst/>
                        </a:prstGeom>
                        <a:noFill/>
                        <a:ln w="9525">
                          <a:noFill/>
                          <a:miter lim="800000"/>
                        </a:ln>
                        <a:effectLst/>
                      </wps:spPr>
                      <wps:txbx>
                        <w:txbxContent>
                          <w:p>
                            <w:r>
                              <w:rPr>
                                <w:rFonts w:hint="eastAsia"/>
                              </w:rPr>
                              <w:t>样品</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96.9pt;margin-top:21.15pt;height:20.4pt;width:39.2pt;z-index:251704320;mso-width-relative:margin;mso-height-relative:margin;" filled="f" stroked="f" coordsize="21600,21600" o:gfxdata="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l6oZL2AAAAAkBAAAPAAAAAAAAAAEAIAAA&#10;ACIAAABkcnMvZG93bnJldi54bWxQSwECFAAUAAAACACHTuJA2WNZ2gwCAADoAwAADgAAAAAAAAAB&#10;ACAAAAAnAQAAZHJzL2Uyb0RvYy54bWxQSwUGAAAAAAYABgBZAQAApQUAAAAA&#10;">
                <v:fill on="f" focussize="0,0"/>
                <v:stroke on="f" miterlimit="8" joinstyle="miter"/>
                <v:imagedata o:title=""/>
                <o:lock v:ext="edit" aspectratio="f"/>
                <v:textbox>
                  <w:txbxContent>
                    <w:p>
                      <w:r>
                        <w:rPr>
                          <w:rFonts w:hint="eastAsia"/>
                        </w:rPr>
                        <w:t>样品</w:t>
                      </w:r>
                    </w:p>
                  </w:txbxContent>
                </v:textbox>
              </v:shape>
            </w:pict>
          </mc:Fallback>
        </mc:AlternateContent>
      </w:r>
      <w:r>
        <w:rPr>
          <w:sz w:val="24"/>
          <w:szCs w:val="24"/>
        </w:rPr>
        <mc:AlternateContent>
          <mc:Choice Requires="wps">
            <w:drawing>
              <wp:anchor distT="45720" distB="45720" distL="114300" distR="114300" simplePos="0" relativeHeight="251703296" behindDoc="0" locked="0" layoutInCell="1" allowOverlap="1">
                <wp:simplePos x="0" y="0"/>
                <wp:positionH relativeFrom="column">
                  <wp:posOffset>4191635</wp:posOffset>
                </wp:positionH>
                <wp:positionV relativeFrom="paragraph">
                  <wp:posOffset>219075</wp:posOffset>
                </wp:positionV>
                <wp:extent cx="497840" cy="259080"/>
                <wp:effectExtent l="0" t="0" r="0" b="0"/>
                <wp:wrapNone/>
                <wp:docPr id="1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98143" cy="259308"/>
                        </a:xfrm>
                        <a:prstGeom prst="rect">
                          <a:avLst/>
                        </a:prstGeom>
                        <a:noFill/>
                        <a:ln w="9525">
                          <a:noFill/>
                          <a:miter lim="800000"/>
                        </a:ln>
                        <a:effectLst/>
                      </wps:spPr>
                      <wps:txbx>
                        <w:txbxContent>
                          <w:p>
                            <w:r>
                              <w:rPr>
                                <w:rFonts w:hint="eastAsia"/>
                              </w:rPr>
                              <w:t>窗口</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30.05pt;margin-top:17.25pt;height:20.4pt;width:39.2pt;z-index:251703296;mso-width-relative:margin;mso-height-relative:margin;" filled="f" stroked="f" coordsize="21600,21600" o:gfxdata="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il3yA1wAAAAkBAAAPAAAAAAAAAAEAIAAA&#10;ACIAAABkcnMvZG93bnJldi54bWxQSwECFAAUAAAACACHTuJA9yBMZA0CAADpAwAADgAAAAAAAAAB&#10;ACAAAAAmAQAAZHJzL2Uyb0RvYy54bWxQSwUGAAAAAAYABgBZAQAApQUAAAAA&#10;">
                <v:fill on="f" focussize="0,0"/>
                <v:stroke on="f" miterlimit="8" joinstyle="miter"/>
                <v:imagedata o:title=""/>
                <o:lock v:ext="edit" aspectratio="f"/>
                <v:textbox>
                  <w:txbxContent>
                    <w:p>
                      <w:r>
                        <w:rPr>
                          <w:rFonts w:hint="eastAsia"/>
                        </w:rPr>
                        <w:t>窗口</w:t>
                      </w:r>
                    </w:p>
                  </w:txbxContent>
                </v:textbox>
              </v:shape>
            </w:pict>
          </mc:Fallback>
        </mc:AlternateContent>
      </w:r>
      <w:r>
        <w:rPr>
          <w:rFonts w:hint="eastAsia"/>
          <w:sz w:val="24"/>
          <w:szCs w:val="24"/>
        </w:rPr>
        <w:t>仪器标配有PTFE积分球漫反射系统，大的采样光斑面积，再配有样品旋转装置，进一步扩大扫描面积，确保了不均匀样品的重现效果，适合粉末状，颗粒状样品的测量。</w:t>
      </w:r>
    </w:p>
    <w:p>
      <w:pPr>
        <w:rPr>
          <w:sz w:val="24"/>
          <w:szCs w:val="24"/>
        </w:rPr>
      </w:pPr>
    </w:p>
    <w:p>
      <w:pPr>
        <w:rPr>
          <w:sz w:val="24"/>
          <w:szCs w:val="24"/>
        </w:rPr>
      </w:pPr>
    </w:p>
    <w:p>
      <w:pPr>
        <w:rPr>
          <w:sz w:val="24"/>
          <w:szCs w:val="24"/>
        </w:rPr>
      </w:pPr>
    </w:p>
    <w:p>
      <w:pPr>
        <w:rPr>
          <w:sz w:val="24"/>
          <w:szCs w:val="24"/>
        </w:rPr>
      </w:pPr>
      <w:r>
        <w:rPr>
          <w:rFonts w:hint="eastAsia"/>
          <w:sz w:val="24"/>
          <w:szCs w:val="24"/>
        </w:rPr>
        <w:t>4、进口核心品质</w:t>
      </w:r>
    </w:p>
    <w:p>
      <w:pPr>
        <w:rPr>
          <w:sz w:val="24"/>
          <w:szCs w:val="24"/>
        </w:rPr>
      </w:pPr>
      <w:r>
        <w:rPr>
          <w:rFonts w:hint="eastAsia"/>
          <w:sz w:val="24"/>
          <w:szCs w:val="24"/>
        </w:rPr>
        <w:t>采用进口钨灯、滤光片、镀金光栅、制冷型铟镓砷检测器，标配PTFE积分球，从每一个环节保证仪器品质，信噪比达到国内领先国际先进水平。</w:t>
      </w:r>
    </w:p>
    <w:p>
      <w:pPr>
        <w:rPr>
          <w:sz w:val="24"/>
          <w:szCs w:val="24"/>
        </w:rPr>
      </w:pPr>
      <w:r>
        <w:rPr>
          <w:rFonts w:hint="eastAsia"/>
          <w:sz w:val="24"/>
          <w:szCs w:val="24"/>
        </w:rPr>
        <w:drawing>
          <wp:anchor distT="0" distB="0" distL="114300" distR="114300" simplePos="0" relativeHeight="251711488" behindDoc="0" locked="0" layoutInCell="1" allowOverlap="1">
            <wp:simplePos x="0" y="0"/>
            <wp:positionH relativeFrom="column">
              <wp:posOffset>3524250</wp:posOffset>
            </wp:positionH>
            <wp:positionV relativeFrom="paragraph">
              <wp:posOffset>62230</wp:posOffset>
            </wp:positionV>
            <wp:extent cx="1311275" cy="1019810"/>
            <wp:effectExtent l="19050" t="0" r="3175" b="0"/>
            <wp:wrapThrough wrapText="bothSides">
              <wp:wrapPolygon>
                <wp:start x="-314" y="0"/>
                <wp:lineTo x="-314" y="21385"/>
                <wp:lineTo x="21652" y="21385"/>
                <wp:lineTo x="21652" y="0"/>
                <wp:lineTo x="-314" y="0"/>
              </wp:wrapPolygon>
            </wp:wrapThrough>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flipH="1">
                      <a:off x="0" y="0"/>
                      <a:ext cx="1311275" cy="1019810"/>
                    </a:xfrm>
                    <a:prstGeom prst="rect">
                      <a:avLst/>
                    </a:prstGeom>
                  </pic:spPr>
                </pic:pic>
              </a:graphicData>
            </a:graphic>
          </wp:anchor>
        </w:drawing>
      </w:r>
      <w:r>
        <w:rPr>
          <w:rFonts w:hint="eastAsia"/>
          <w:sz w:val="24"/>
          <w:szCs w:val="24"/>
        </w:rPr>
        <w:drawing>
          <wp:anchor distT="0" distB="0" distL="114300" distR="114300" simplePos="0" relativeHeight="251712512" behindDoc="0" locked="0" layoutInCell="1" allowOverlap="1">
            <wp:simplePos x="0" y="0"/>
            <wp:positionH relativeFrom="column">
              <wp:posOffset>2095500</wp:posOffset>
            </wp:positionH>
            <wp:positionV relativeFrom="paragraph">
              <wp:posOffset>62230</wp:posOffset>
            </wp:positionV>
            <wp:extent cx="1311910" cy="1019810"/>
            <wp:effectExtent l="19050" t="0" r="2540" b="0"/>
            <wp:wrapThrough wrapText="bothSides">
              <wp:wrapPolygon>
                <wp:start x="-314" y="0"/>
                <wp:lineTo x="-314" y="21385"/>
                <wp:lineTo x="21642" y="21385"/>
                <wp:lineTo x="21642" y="0"/>
                <wp:lineTo x="-314" y="0"/>
              </wp:wrapPolygon>
            </wp:wrapThrough>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flipH="1">
                      <a:off x="0" y="0"/>
                      <a:ext cx="1311910" cy="1019810"/>
                    </a:xfrm>
                    <a:prstGeom prst="rect">
                      <a:avLst/>
                    </a:prstGeom>
                  </pic:spPr>
                </pic:pic>
              </a:graphicData>
            </a:graphic>
          </wp:anchor>
        </w:drawing>
      </w:r>
      <w:r>
        <w:rPr>
          <w:rFonts w:hint="eastAsia"/>
          <w:sz w:val="24"/>
          <w:szCs w:val="24"/>
        </w:rPr>
        <w:drawing>
          <wp:anchor distT="0" distB="0" distL="114300" distR="114300" simplePos="0" relativeHeight="251713536" behindDoc="0" locked="0" layoutInCell="1" allowOverlap="1">
            <wp:simplePos x="0" y="0"/>
            <wp:positionH relativeFrom="column">
              <wp:posOffset>962025</wp:posOffset>
            </wp:positionH>
            <wp:positionV relativeFrom="paragraph">
              <wp:posOffset>62865</wp:posOffset>
            </wp:positionV>
            <wp:extent cx="1019810" cy="1019810"/>
            <wp:effectExtent l="19050" t="0" r="8890" b="0"/>
            <wp:wrapThrough wrapText="bothSides">
              <wp:wrapPolygon>
                <wp:start x="-403" y="0"/>
                <wp:lineTo x="-403" y="21385"/>
                <wp:lineTo x="21788" y="21385"/>
                <wp:lineTo x="21788" y="0"/>
                <wp:lineTo x="-403" y="0"/>
              </wp:wrapPolygon>
            </wp:wrapThrough>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1019810" cy="1019810"/>
                    </a:xfrm>
                    <a:prstGeom prst="rect">
                      <a:avLst/>
                    </a:prstGeom>
                  </pic:spPr>
                </pic:pic>
              </a:graphicData>
            </a:graphic>
          </wp:anchor>
        </w:drawing>
      </w:r>
      <w:r>
        <w:rPr>
          <w:rFonts w:hint="eastAsia"/>
          <w:sz w:val="24"/>
          <w:szCs w:val="24"/>
        </w:rPr>
        <w:drawing>
          <wp:anchor distT="0" distB="0" distL="114300" distR="114300" simplePos="0" relativeHeight="251710464" behindDoc="0" locked="0" layoutInCell="1" allowOverlap="1">
            <wp:simplePos x="0" y="0"/>
            <wp:positionH relativeFrom="column">
              <wp:posOffset>9525</wp:posOffset>
            </wp:positionH>
            <wp:positionV relativeFrom="paragraph">
              <wp:posOffset>62865</wp:posOffset>
            </wp:positionV>
            <wp:extent cx="851535" cy="1028700"/>
            <wp:effectExtent l="19050" t="0" r="5715" b="0"/>
            <wp:wrapThrough wrapText="bothSides">
              <wp:wrapPolygon>
                <wp:start x="-483" y="0"/>
                <wp:lineTo x="-483" y="21200"/>
                <wp:lineTo x="21745" y="21200"/>
                <wp:lineTo x="21745" y="0"/>
                <wp:lineTo x="-483" y="0"/>
              </wp:wrapPolygon>
            </wp:wrapThrough>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12" cstate="print"/>
                    <a:stretch>
                      <a:fillRect/>
                    </a:stretch>
                  </pic:blipFill>
                  <pic:spPr>
                    <a:xfrm flipH="1">
                      <a:off x="0" y="0"/>
                      <a:ext cx="851535" cy="1028700"/>
                    </a:xfrm>
                    <a:prstGeom prst="rect">
                      <a:avLst/>
                    </a:prstGeom>
                  </pic:spPr>
                </pic:pic>
              </a:graphicData>
            </a:graphic>
          </wp:anchor>
        </w:drawing>
      </w: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r>
        <w:rPr>
          <w:sz w:val="24"/>
          <w:szCs w:val="24"/>
        </w:rPr>
        <w:t>5</w:t>
      </w:r>
      <w:r>
        <w:rPr>
          <w:rFonts w:hint="eastAsia"/>
          <w:sz w:val="24"/>
          <w:szCs w:val="24"/>
        </w:rPr>
        <w:t>、标准化的仪器</w:t>
      </w:r>
    </w:p>
    <w:p>
      <w:pPr>
        <w:rPr>
          <w:sz w:val="24"/>
          <w:szCs w:val="24"/>
        </w:rPr>
      </w:pPr>
      <w:r>
        <w:rPr>
          <w:sz w:val="24"/>
          <w:szCs w:val="24"/>
        </w:rPr>
        <w:drawing>
          <wp:anchor distT="0" distB="0" distL="114300" distR="114300" simplePos="0" relativeHeight="251706368" behindDoc="1" locked="0" layoutInCell="1" allowOverlap="1">
            <wp:simplePos x="0" y="0"/>
            <wp:positionH relativeFrom="column">
              <wp:posOffset>3638550</wp:posOffset>
            </wp:positionH>
            <wp:positionV relativeFrom="paragraph">
              <wp:posOffset>0</wp:posOffset>
            </wp:positionV>
            <wp:extent cx="1705610" cy="1285875"/>
            <wp:effectExtent l="19050" t="0" r="8890" b="0"/>
            <wp:wrapTight wrapText="bothSides">
              <wp:wrapPolygon>
                <wp:start x="-241" y="0"/>
                <wp:lineTo x="-241" y="21440"/>
                <wp:lineTo x="21713" y="21440"/>
                <wp:lineTo x="21713" y="0"/>
                <wp:lineTo x="-241" y="0"/>
              </wp:wrapPolygon>
            </wp:wrapTight>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705610" cy="1285875"/>
                    </a:xfrm>
                    <a:prstGeom prst="rect">
                      <a:avLst/>
                    </a:prstGeom>
                  </pic:spPr>
                </pic:pic>
              </a:graphicData>
            </a:graphic>
          </wp:anchor>
        </w:drawing>
      </w:r>
      <w:r>
        <w:rPr>
          <w:rFonts w:hint="eastAsia"/>
          <w:sz w:val="24"/>
          <w:szCs w:val="24"/>
        </w:rPr>
        <w:t>每台仪器严格按照行业推荐方法进行校准、鉴定和验证，所有测试均使用</w:t>
      </w:r>
      <w:r>
        <w:rPr>
          <w:sz w:val="24"/>
          <w:szCs w:val="24"/>
        </w:rPr>
        <w:t>NIST</w:t>
      </w:r>
      <w:r>
        <w:rPr>
          <w:rFonts w:hint="eastAsia"/>
          <w:sz w:val="24"/>
          <w:szCs w:val="24"/>
        </w:rPr>
        <w:t>可溯源的标准品，保证仪器的每一项指标真实可靠。仪器出厂前都做过硬件标准化，吸光度、带宽和波长准确性在生产最后阶段完全控制，确保仪器之间的一致性。而且，一旦仪器投入使用，内置的标准测量物确保仪器性能长时间无漂移，保证了仪器之间一致性的连续控制。</w:t>
      </w:r>
    </w:p>
    <w:p>
      <w:pPr>
        <w:rPr>
          <w:sz w:val="24"/>
          <w:szCs w:val="24"/>
        </w:rPr>
      </w:pPr>
    </w:p>
    <w:p>
      <w:pPr>
        <w:rPr>
          <w:sz w:val="24"/>
          <w:szCs w:val="24"/>
        </w:rPr>
      </w:pPr>
      <w:r>
        <w:rPr>
          <w:sz w:val="24"/>
          <w:szCs w:val="24"/>
        </w:rPr>
        <w:t>6</w:t>
      </w:r>
      <w:r>
        <w:rPr>
          <w:rFonts w:hint="eastAsia"/>
          <w:sz w:val="24"/>
          <w:szCs w:val="24"/>
        </w:rPr>
        <w:t>、扩展附件</w:t>
      </w:r>
    </w:p>
    <w:p>
      <w:pPr>
        <w:rPr>
          <w:sz w:val="24"/>
          <w:szCs w:val="24"/>
        </w:rPr>
      </w:pPr>
      <w:r>
        <w:rPr>
          <w:rFonts w:hint="eastAsia"/>
          <w:sz w:val="24"/>
          <w:szCs w:val="24"/>
        </w:rPr>
        <w:drawing>
          <wp:anchor distT="0" distB="0" distL="114300" distR="114300" simplePos="0" relativeHeight="251718656" behindDoc="0" locked="0" layoutInCell="1" allowOverlap="1">
            <wp:simplePos x="0" y="0"/>
            <wp:positionH relativeFrom="column">
              <wp:posOffset>4448810</wp:posOffset>
            </wp:positionH>
            <wp:positionV relativeFrom="paragraph">
              <wp:posOffset>293370</wp:posOffset>
            </wp:positionV>
            <wp:extent cx="895350" cy="1514475"/>
            <wp:effectExtent l="19050" t="0" r="0" b="0"/>
            <wp:wrapThrough wrapText="bothSides">
              <wp:wrapPolygon>
                <wp:start x="-460" y="0"/>
                <wp:lineTo x="-460" y="21464"/>
                <wp:lineTo x="21600" y="21464"/>
                <wp:lineTo x="21600" y="0"/>
                <wp:lineTo x="-460" y="0"/>
              </wp:wrapPolygon>
            </wp:wrapThrough>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95350" cy="1514475"/>
                    </a:xfrm>
                    <a:prstGeom prst="rect">
                      <a:avLst/>
                    </a:prstGeom>
                  </pic:spPr>
                </pic:pic>
              </a:graphicData>
            </a:graphic>
          </wp:anchor>
        </w:drawing>
      </w:r>
      <w:r>
        <w:rPr>
          <w:rFonts w:hint="eastAsia"/>
          <w:sz w:val="24"/>
          <w:szCs w:val="24"/>
        </w:rPr>
        <w:t>可选择适用粉末的小样品杯、适用颗粒的大样品杯、液体反射适配器、培养皿和薄膜反射适配器满足颗粒、粉状、液体和薄膜的测试。</w:t>
      </w:r>
    </w:p>
    <w:p>
      <w:pPr>
        <w:rPr>
          <w:sz w:val="24"/>
          <w:szCs w:val="24"/>
        </w:rPr>
      </w:pPr>
    </w:p>
    <w:p>
      <w:pPr>
        <w:rPr>
          <w:sz w:val="24"/>
          <w:szCs w:val="24"/>
        </w:rPr>
      </w:pPr>
      <w:r>
        <w:rPr>
          <w:sz w:val="24"/>
          <w:szCs w:val="24"/>
        </w:rPr>
        <w:t>7</w:t>
      </w:r>
      <w:r>
        <w:rPr>
          <w:rFonts w:hint="eastAsia"/>
          <w:sz w:val="24"/>
          <w:szCs w:val="24"/>
        </w:rPr>
        <w:t>、温湿度模块</w:t>
      </w:r>
    </w:p>
    <w:p>
      <w:pPr>
        <w:widowControl/>
        <w:jc w:val="left"/>
        <w:rPr>
          <w:sz w:val="32"/>
        </w:rPr>
      </w:pPr>
      <w:r>
        <w:rPr>
          <w:rFonts w:hint="eastAsia"/>
          <w:sz w:val="24"/>
          <w:szCs w:val="24"/>
        </w:rPr>
        <w:t>仪器实时监测环境温湿度并存储于光谱文件中，便于用户查阅和优化测量条件。</w:t>
      </w:r>
    </w:p>
    <w:p>
      <w:pPr>
        <w:widowControl/>
        <w:jc w:val="left"/>
        <w:rPr>
          <w:sz w:val="32"/>
        </w:rPr>
      </w:pPr>
    </w:p>
    <w:p>
      <w:pPr>
        <w:widowControl/>
        <w:jc w:val="left"/>
        <w:rPr>
          <w:sz w:val="24"/>
          <w:szCs w:val="24"/>
        </w:rPr>
      </w:pPr>
      <w:r>
        <w:rPr>
          <w:sz w:val="24"/>
          <w:szCs w:val="24"/>
        </w:rPr>
        <w:t>特点</w:t>
      </w:r>
      <w:r>
        <w:rPr>
          <w:rFonts w:hint="eastAsia"/>
          <w:sz w:val="24"/>
          <w:szCs w:val="24"/>
        </w:rPr>
        <w:t>：</w:t>
      </w:r>
    </w:p>
    <w:p>
      <w:pPr>
        <w:pStyle w:val="9"/>
        <w:widowControl/>
        <w:numPr>
          <w:ilvl w:val="0"/>
          <w:numId w:val="1"/>
        </w:numPr>
        <w:ind w:firstLineChars="0"/>
        <w:jc w:val="left"/>
        <w:rPr>
          <w:sz w:val="24"/>
          <w:szCs w:val="24"/>
        </w:rPr>
      </w:pPr>
      <w:r>
        <w:rPr>
          <w:rFonts w:hint="eastAsia"/>
          <w:sz w:val="24"/>
          <w:szCs w:val="24"/>
        </w:rPr>
        <w:t>操作简单，无需样品前处理，不破坏样品。</w:t>
      </w:r>
    </w:p>
    <w:p>
      <w:pPr>
        <w:pStyle w:val="9"/>
        <w:widowControl/>
        <w:numPr>
          <w:ilvl w:val="0"/>
          <w:numId w:val="1"/>
        </w:numPr>
        <w:ind w:firstLineChars="0"/>
        <w:jc w:val="left"/>
        <w:rPr>
          <w:sz w:val="24"/>
          <w:szCs w:val="24"/>
        </w:rPr>
      </w:pPr>
      <w:r>
        <w:rPr>
          <w:rFonts w:hint="eastAsia"/>
          <w:sz w:val="24"/>
          <w:szCs w:val="24"/>
        </w:rPr>
        <w:t>900nm-2500</w:t>
      </w:r>
      <w:r>
        <w:rPr>
          <w:sz w:val="24"/>
          <w:szCs w:val="24"/>
        </w:rPr>
        <w:t>nm超宽光谱范围</w:t>
      </w:r>
      <w:r>
        <w:rPr>
          <w:rFonts w:hint="eastAsia"/>
          <w:sz w:val="24"/>
          <w:szCs w:val="24"/>
        </w:rPr>
        <w:t>，分析速度快。1分钟内可同时检出多项成份指标，如水分、脂肪、蛋白质和氨基酸等。</w:t>
      </w:r>
    </w:p>
    <w:p>
      <w:pPr>
        <w:pStyle w:val="9"/>
        <w:widowControl/>
        <w:numPr>
          <w:ilvl w:val="0"/>
          <w:numId w:val="1"/>
        </w:numPr>
        <w:ind w:firstLineChars="0"/>
        <w:jc w:val="left"/>
        <w:rPr>
          <w:sz w:val="24"/>
          <w:szCs w:val="24"/>
        </w:rPr>
      </w:pPr>
      <w:r>
        <w:rPr>
          <w:rFonts w:hint="eastAsia"/>
          <w:sz w:val="24"/>
          <w:szCs w:val="24"/>
        </w:rPr>
        <w:t>核心进口品质，主要零件性能均为国际领先水平。</w:t>
      </w:r>
    </w:p>
    <w:p>
      <w:pPr>
        <w:pStyle w:val="9"/>
        <w:widowControl/>
        <w:numPr>
          <w:ilvl w:val="0"/>
          <w:numId w:val="1"/>
        </w:numPr>
        <w:ind w:firstLineChars="0"/>
        <w:jc w:val="left"/>
        <w:rPr>
          <w:sz w:val="24"/>
          <w:szCs w:val="24"/>
        </w:rPr>
      </w:pPr>
      <w:r>
        <w:rPr>
          <w:rFonts w:hint="eastAsia"/>
          <w:sz w:val="24"/>
          <w:szCs w:val="24"/>
        </w:rPr>
        <w:t>内置优质PTFE参比模块和</w:t>
      </w:r>
      <w:r>
        <w:rPr>
          <w:sz w:val="24"/>
          <w:szCs w:val="24"/>
        </w:rPr>
        <w:t>聚苯乙烯波长标准片</w:t>
      </w:r>
      <w:r>
        <w:rPr>
          <w:rFonts w:hint="eastAsia"/>
          <w:sz w:val="24"/>
          <w:szCs w:val="24"/>
        </w:rPr>
        <w:t>，自动参比校正和监控波长，确保测量结果精准稳定。</w:t>
      </w:r>
    </w:p>
    <w:p>
      <w:pPr>
        <w:pStyle w:val="9"/>
        <w:widowControl/>
        <w:numPr>
          <w:ilvl w:val="0"/>
          <w:numId w:val="1"/>
        </w:numPr>
        <w:ind w:firstLineChars="0"/>
        <w:jc w:val="left"/>
        <w:rPr>
          <w:sz w:val="24"/>
          <w:szCs w:val="24"/>
        </w:rPr>
      </w:pPr>
      <w:r>
        <w:rPr>
          <w:rFonts w:hint="eastAsia"/>
          <w:sz w:val="24"/>
          <w:szCs w:val="24"/>
        </w:rPr>
        <w:t>配有积分球漫反射系统、大采样光斑和样品旋转台，确保不均匀样品的重现效果。</w:t>
      </w:r>
    </w:p>
    <w:p>
      <w:pPr>
        <w:pStyle w:val="9"/>
        <w:widowControl/>
        <w:numPr>
          <w:ilvl w:val="0"/>
          <w:numId w:val="1"/>
        </w:numPr>
        <w:ind w:firstLineChars="0"/>
        <w:jc w:val="left"/>
        <w:rPr>
          <w:sz w:val="24"/>
          <w:szCs w:val="24"/>
        </w:rPr>
      </w:pPr>
      <w:r>
        <w:rPr>
          <w:rFonts w:hint="eastAsia"/>
          <w:sz w:val="24"/>
          <w:szCs w:val="24"/>
        </w:rPr>
        <w:t>多台仪器间能够进行良好的模型传递，每台仪器</w:t>
      </w:r>
      <w:r>
        <w:rPr>
          <w:sz w:val="24"/>
          <w:szCs w:val="24"/>
        </w:rPr>
        <w:t>严格按照行业推荐方法进行校准</w:t>
      </w:r>
      <w:r>
        <w:rPr>
          <w:rFonts w:hint="eastAsia"/>
          <w:sz w:val="24"/>
          <w:szCs w:val="24"/>
        </w:rPr>
        <w:t>、</w:t>
      </w:r>
      <w:r>
        <w:rPr>
          <w:sz w:val="24"/>
          <w:szCs w:val="24"/>
        </w:rPr>
        <w:t>鉴定和验证</w:t>
      </w:r>
      <w:r>
        <w:rPr>
          <w:rFonts w:hint="eastAsia"/>
          <w:sz w:val="24"/>
          <w:szCs w:val="24"/>
        </w:rPr>
        <w:t>，所有</w:t>
      </w:r>
      <w:r>
        <w:rPr>
          <w:sz w:val="24"/>
          <w:szCs w:val="24"/>
        </w:rPr>
        <w:t>测试均使用</w:t>
      </w:r>
      <w:r>
        <w:rPr>
          <w:rFonts w:hint="eastAsia"/>
          <w:sz w:val="24"/>
          <w:szCs w:val="24"/>
        </w:rPr>
        <w:t>NIST可溯源的标准品。</w:t>
      </w:r>
    </w:p>
    <w:p>
      <w:pPr>
        <w:pStyle w:val="9"/>
        <w:widowControl/>
        <w:numPr>
          <w:ilvl w:val="0"/>
          <w:numId w:val="1"/>
        </w:numPr>
        <w:ind w:firstLineChars="0"/>
        <w:jc w:val="left"/>
        <w:rPr>
          <w:sz w:val="24"/>
          <w:szCs w:val="24"/>
        </w:rPr>
      </w:pPr>
      <w:r>
        <w:rPr>
          <w:sz w:val="24"/>
          <w:szCs w:val="24"/>
        </w:rPr>
        <w:t>可选择多种样品杯及附件</w:t>
      </w:r>
      <w:r>
        <w:rPr>
          <w:rFonts w:hint="eastAsia"/>
          <w:sz w:val="24"/>
          <w:szCs w:val="24"/>
        </w:rPr>
        <w:t>，</w:t>
      </w:r>
      <w:r>
        <w:rPr>
          <w:sz w:val="24"/>
          <w:szCs w:val="24"/>
        </w:rPr>
        <w:t>满足颗粒</w:t>
      </w:r>
      <w:r>
        <w:rPr>
          <w:rFonts w:hint="eastAsia"/>
          <w:sz w:val="24"/>
          <w:szCs w:val="24"/>
        </w:rPr>
        <w:t>、</w:t>
      </w:r>
      <w:r>
        <w:rPr>
          <w:sz w:val="24"/>
          <w:szCs w:val="24"/>
        </w:rPr>
        <w:t>粉状</w:t>
      </w:r>
      <w:r>
        <w:rPr>
          <w:rFonts w:hint="eastAsia"/>
          <w:sz w:val="24"/>
          <w:szCs w:val="24"/>
        </w:rPr>
        <w:t>、</w:t>
      </w:r>
      <w:r>
        <w:rPr>
          <w:sz w:val="24"/>
          <w:szCs w:val="24"/>
        </w:rPr>
        <w:t>液体和薄膜的测试</w:t>
      </w:r>
      <w:r>
        <w:rPr>
          <w:rFonts w:hint="eastAsia"/>
          <w:sz w:val="24"/>
          <w:szCs w:val="24"/>
        </w:rPr>
        <w:t>。</w:t>
      </w:r>
    </w:p>
    <w:p>
      <w:pPr>
        <w:pStyle w:val="9"/>
        <w:widowControl/>
        <w:numPr>
          <w:ilvl w:val="0"/>
          <w:numId w:val="1"/>
        </w:numPr>
        <w:ind w:firstLineChars="0"/>
        <w:jc w:val="left"/>
        <w:rPr>
          <w:sz w:val="24"/>
          <w:szCs w:val="24"/>
        </w:rPr>
      </w:pPr>
      <w:r>
        <w:rPr>
          <w:rFonts w:hint="eastAsia"/>
          <w:sz w:val="24"/>
          <w:szCs w:val="24"/>
        </w:rPr>
        <w:t>仪器实时监测环境温湿度并存储于光谱文件中，便于用户查阅和优化测量条件。</w:t>
      </w:r>
    </w:p>
    <w:p>
      <w:pPr>
        <w:pStyle w:val="9"/>
        <w:widowControl/>
        <w:numPr>
          <w:ilvl w:val="0"/>
          <w:numId w:val="1"/>
        </w:numPr>
        <w:ind w:firstLineChars="0"/>
        <w:jc w:val="left"/>
        <w:rPr>
          <w:sz w:val="24"/>
          <w:szCs w:val="24"/>
        </w:rPr>
      </w:pPr>
      <w:r>
        <w:rPr>
          <w:rFonts w:hint="eastAsia"/>
          <w:sz w:val="24"/>
          <w:szCs w:val="24"/>
        </w:rPr>
        <w:t>软件</w:t>
      </w:r>
      <w:r>
        <w:rPr>
          <w:sz w:val="24"/>
          <w:szCs w:val="24"/>
        </w:rPr>
        <w:t>操作简单</w:t>
      </w:r>
      <w:r>
        <w:rPr>
          <w:rFonts w:hint="eastAsia"/>
          <w:sz w:val="24"/>
          <w:szCs w:val="24"/>
        </w:rPr>
        <w:t>，</w:t>
      </w:r>
      <w:r>
        <w:rPr>
          <w:sz w:val="24"/>
          <w:szCs w:val="24"/>
        </w:rPr>
        <w:t>界面直观</w:t>
      </w:r>
      <w:r>
        <w:rPr>
          <w:rFonts w:hint="eastAsia"/>
          <w:sz w:val="24"/>
          <w:szCs w:val="24"/>
        </w:rPr>
        <w:t>，</w:t>
      </w:r>
      <w:r>
        <w:rPr>
          <w:sz w:val="24"/>
          <w:szCs w:val="24"/>
        </w:rPr>
        <w:t>权限管理功能可满足不同场合的使用需求</w:t>
      </w:r>
      <w:r>
        <w:rPr>
          <w:rFonts w:hint="eastAsia"/>
          <w:sz w:val="24"/>
          <w:szCs w:val="24"/>
        </w:rPr>
        <w:t>。</w:t>
      </w:r>
    </w:p>
    <w:p>
      <w:pPr>
        <w:pStyle w:val="9"/>
        <w:widowControl/>
        <w:numPr>
          <w:ilvl w:val="0"/>
          <w:numId w:val="1"/>
        </w:numPr>
        <w:ind w:firstLineChars="0"/>
        <w:jc w:val="left"/>
        <w:rPr>
          <w:sz w:val="24"/>
          <w:szCs w:val="24"/>
        </w:rPr>
      </w:pPr>
      <w:r>
        <w:rPr>
          <w:rFonts w:hint="eastAsia"/>
          <w:sz w:val="24"/>
          <w:szCs w:val="24"/>
        </w:rPr>
        <w:t>结合中国农业大学近红外光谱分析软件（CAUNIRS），可建立权威专业的近红外定量、定性分析模型。</w:t>
      </w:r>
    </w:p>
    <w:p>
      <w:pPr>
        <w:pStyle w:val="9"/>
        <w:widowControl/>
        <w:numPr>
          <w:ilvl w:val="0"/>
          <w:numId w:val="1"/>
        </w:numPr>
        <w:ind w:firstLineChars="0"/>
        <w:jc w:val="left"/>
        <w:rPr>
          <w:sz w:val="24"/>
          <w:szCs w:val="24"/>
        </w:rPr>
      </w:pPr>
      <w:r>
        <w:rPr>
          <w:rFonts w:hint="eastAsia"/>
          <w:sz w:val="24"/>
          <w:szCs w:val="24"/>
        </w:rPr>
        <w:t>仪器结构紧凑小巧，开放式工作平台方便清扫。</w:t>
      </w:r>
    </w:p>
    <w:p>
      <w:r>
        <w:rPr>
          <w:rFonts w:hint="eastAsia"/>
        </w:rPr>
        <w:t>方便、易用</w:t>
      </w:r>
    </w:p>
    <w:p>
      <w:pPr>
        <w:rPr>
          <w:sz w:val="24"/>
          <w:szCs w:val="24"/>
        </w:rPr>
      </w:pPr>
      <w:r>
        <w:rPr>
          <w:rFonts w:hint="eastAsia"/>
          <w:sz w:val="24"/>
          <w:szCs w:val="24"/>
        </w:rPr>
        <w:t>1、简便的操作控制</w:t>
      </w:r>
    </w:p>
    <w:p>
      <w:pPr>
        <w:rPr>
          <w:sz w:val="24"/>
          <w:szCs w:val="24"/>
        </w:rPr>
      </w:pPr>
      <w:r>
        <w:rPr>
          <w:rFonts w:hint="eastAsia"/>
          <w:sz w:val="24"/>
          <w:szCs w:val="24"/>
        </w:rPr>
        <w:drawing>
          <wp:anchor distT="0" distB="0" distL="114300" distR="114300" simplePos="0" relativeHeight="251675648" behindDoc="0" locked="0" layoutInCell="1" allowOverlap="1">
            <wp:simplePos x="0" y="0"/>
            <wp:positionH relativeFrom="column">
              <wp:posOffset>3124200</wp:posOffset>
            </wp:positionH>
            <wp:positionV relativeFrom="paragraph">
              <wp:posOffset>584835</wp:posOffset>
            </wp:positionV>
            <wp:extent cx="2752725" cy="2095500"/>
            <wp:effectExtent l="19050" t="0" r="9525" b="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52725" cy="2095500"/>
                    </a:xfrm>
                    <a:prstGeom prst="rect">
                      <a:avLst/>
                    </a:prstGeom>
                  </pic:spPr>
                </pic:pic>
              </a:graphicData>
            </a:graphic>
          </wp:anchor>
        </w:drawing>
      </w:r>
      <w:r>
        <w:rPr>
          <w:rFonts w:hint="eastAsia"/>
          <w:sz w:val="24"/>
          <w:szCs w:val="24"/>
        </w:rPr>
        <w:t>无需使用化学试剂，无需前处理，直接将样品放入样品杯中，实验操作简单，轻轻一点即可快速完成实验。避免因操作而带来的测试误差。仪器内置背景，无需手动操作，消除了人为干扰带来的影响。</w:t>
      </w:r>
    </w:p>
    <w:p>
      <w:pPr>
        <w:rPr>
          <w:sz w:val="24"/>
          <w:szCs w:val="24"/>
        </w:rPr>
      </w:pPr>
      <w:r>
        <w:rPr>
          <w:sz w:val="24"/>
          <w:szCs w:val="24"/>
        </w:rPr>
        <w:t>2</w:t>
      </w:r>
      <w:r>
        <w:rPr>
          <w:rFonts w:hint="eastAsia"/>
          <w:sz w:val="24"/>
          <w:szCs w:val="24"/>
        </w:rPr>
        <w:t>、友好的界面软件</w:t>
      </w:r>
    </w:p>
    <w:p>
      <w:pPr>
        <w:rPr>
          <w:sz w:val="24"/>
          <w:szCs w:val="24"/>
        </w:rPr>
      </w:pPr>
      <w:r>
        <w:rPr>
          <w:rFonts w:hint="eastAsia"/>
          <w:sz w:val="24"/>
          <w:szCs w:val="24"/>
        </w:rPr>
        <w:t>软件操作简单，界面直观，功能强大。它包含全面广泛的数据采集、预处理、评价等功能，可配置所需安装包满足实际需求。还扩充了“用户设置”和“用户管理”功能，便于用户定制操作者的使用权限。</w:t>
      </w:r>
    </w:p>
    <w:p>
      <w:pPr>
        <w:rPr>
          <w:sz w:val="24"/>
          <w:szCs w:val="24"/>
        </w:rPr>
      </w:pPr>
      <w:r>
        <w:rPr>
          <w:sz w:val="24"/>
          <w:szCs w:val="24"/>
        </w:rPr>
        <w:t>3</w:t>
      </w:r>
      <w:r>
        <w:rPr>
          <w:rFonts w:hint="eastAsia"/>
          <w:sz w:val="24"/>
          <w:szCs w:val="24"/>
        </w:rPr>
        <w:t>、便捷的维护</w:t>
      </w:r>
    </w:p>
    <w:p>
      <w:pPr>
        <w:rPr>
          <w:sz w:val="24"/>
          <w:szCs w:val="24"/>
        </w:rPr>
      </w:pPr>
      <w:r>
        <w:rPr>
          <w:rFonts w:hint="eastAsia"/>
          <w:sz w:val="24"/>
          <w:szCs w:val="24"/>
        </w:rPr>
        <w:t>仪器结构紧凑小巧，工作平台方便清扫。易耗品（光源和干燥剂）都设计成长寿命型，但如需更换，用户无需打开仪器，即可在短时间内快速完成更换。</w:t>
      </w:r>
    </w:p>
    <w:p>
      <w:pPr>
        <w:pStyle w:val="9"/>
        <w:ind w:left="420" w:firstLine="0" w:firstLineChars="0"/>
        <w:rPr>
          <w:sz w:val="24"/>
          <w:szCs w:val="24"/>
        </w:rPr>
      </w:pPr>
    </w:p>
    <w:p>
      <w:pPr>
        <w:rPr>
          <w:sz w:val="24"/>
          <w:szCs w:val="24"/>
        </w:rPr>
      </w:pPr>
    </w:p>
    <w:p>
      <w:pPr>
        <w:rPr>
          <w:sz w:val="24"/>
          <w:szCs w:val="24"/>
        </w:rPr>
      </w:pPr>
      <w:r>
        <w:rPr>
          <w:sz w:val="24"/>
          <w:szCs w:val="24"/>
        </w:rPr>
        <w:t>个性化功能</w:t>
      </w:r>
    </w:p>
    <w:p>
      <w:pPr>
        <w:rPr>
          <w:sz w:val="24"/>
          <w:szCs w:val="24"/>
        </w:rPr>
      </w:pPr>
      <w:r>
        <w:rPr>
          <w:rFonts w:hint="eastAsia"/>
          <w:sz w:val="24"/>
          <w:szCs w:val="24"/>
        </w:rPr>
        <w:t>1、模型的建立与优化</w:t>
      </w:r>
    </w:p>
    <w:p>
      <w:pPr>
        <w:rPr>
          <w:sz w:val="24"/>
          <w:szCs w:val="24"/>
        </w:rPr>
      </w:pPr>
      <w:r>
        <w:rPr>
          <w:sz w:val="24"/>
          <w:szCs w:val="24"/>
        </w:rPr>
        <w:drawing>
          <wp:anchor distT="0" distB="0" distL="114300" distR="114300" simplePos="0" relativeHeight="251682816" behindDoc="0" locked="0" layoutInCell="1" allowOverlap="1">
            <wp:simplePos x="0" y="0"/>
            <wp:positionH relativeFrom="column">
              <wp:posOffset>3124835</wp:posOffset>
            </wp:positionH>
            <wp:positionV relativeFrom="paragraph">
              <wp:posOffset>200025</wp:posOffset>
            </wp:positionV>
            <wp:extent cx="2753360" cy="2114550"/>
            <wp:effectExtent l="19050" t="0" r="889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53360" cy="2114550"/>
                    </a:xfrm>
                    <a:prstGeom prst="rect">
                      <a:avLst/>
                    </a:prstGeom>
                  </pic:spPr>
                </pic:pic>
              </a:graphicData>
            </a:graphic>
          </wp:anchor>
        </w:drawing>
      </w:r>
      <w:r>
        <w:rPr>
          <w:rFonts w:hint="eastAsia"/>
          <w:sz w:val="24"/>
          <w:szCs w:val="24"/>
        </w:rPr>
        <w:t>采用中国农业大学开发的近红外光谱分析软件（CAUNIRS），该软件集成多种建模方法和强大的数据预处理功能，拥有强大的模型编辑、计算、评价和优化功能，可简便快速地为用户建立权威、专业的近红外定量分析模型或定性识别分析模型，以及后续模型维护服务。</w:t>
      </w:r>
    </w:p>
    <w:p>
      <w:pPr>
        <w:rPr>
          <w:sz w:val="24"/>
          <w:szCs w:val="24"/>
        </w:rPr>
      </w:pPr>
      <w:r>
        <w:rPr>
          <w:sz w:val="24"/>
          <w:szCs w:val="24"/>
        </w:rPr>
        <w:t>2</w:t>
      </w:r>
      <w:r>
        <w:rPr>
          <w:rFonts w:hint="eastAsia"/>
          <w:sz w:val="24"/>
          <w:szCs w:val="24"/>
        </w:rPr>
        <w:t>、模型传递</w:t>
      </w:r>
    </w:p>
    <w:p>
      <w:pPr>
        <w:rPr>
          <w:sz w:val="24"/>
          <w:szCs w:val="24"/>
        </w:rPr>
      </w:pPr>
      <w:r>
        <w:rPr>
          <w:rFonts w:hint="eastAsia"/>
          <w:sz w:val="24"/>
          <w:szCs w:val="24"/>
        </w:rPr>
        <w:t>仪器超高的准确性和稳定性保证了多台仪器之间的模型可以轻松传递，实现资源共享。</w:t>
      </w:r>
    </w:p>
    <w:p>
      <w:pPr>
        <w:rPr>
          <w:sz w:val="24"/>
          <w:szCs w:val="24"/>
        </w:rPr>
      </w:pPr>
      <w:r>
        <w:rPr>
          <w:sz w:val="24"/>
          <w:szCs w:val="24"/>
        </w:rPr>
        <w:t>3</w:t>
      </w:r>
      <w:r>
        <w:rPr>
          <w:rFonts w:hint="eastAsia"/>
          <w:sz w:val="24"/>
          <w:szCs w:val="24"/>
        </w:rPr>
        <w:t>、仪器校验</w:t>
      </w:r>
    </w:p>
    <w:p>
      <w:pPr>
        <w:rPr>
          <w:sz w:val="24"/>
          <w:szCs w:val="24"/>
        </w:rPr>
      </w:pPr>
      <w:r>
        <w:rPr>
          <w:sz w:val="24"/>
          <w:szCs w:val="24"/>
        </w:rPr>
        <w:t>仪器内置标准物质</w:t>
      </w:r>
      <w:r>
        <w:rPr>
          <w:rFonts w:hint="eastAsia"/>
          <w:sz w:val="24"/>
          <w:szCs w:val="24"/>
        </w:rPr>
        <w:t>，</w:t>
      </w:r>
      <w:r>
        <w:rPr>
          <w:sz w:val="24"/>
          <w:szCs w:val="24"/>
        </w:rPr>
        <w:t>由Prolab S450 软件控制</w:t>
      </w:r>
      <w:r>
        <w:rPr>
          <w:rFonts w:hint="eastAsia"/>
          <w:sz w:val="24"/>
          <w:szCs w:val="24"/>
        </w:rPr>
        <w:t>，</w:t>
      </w:r>
      <w:r>
        <w:rPr>
          <w:sz w:val="24"/>
          <w:szCs w:val="24"/>
        </w:rPr>
        <w:t>自动完成对仪器的性能自我检测</w:t>
      </w:r>
      <w:r>
        <w:rPr>
          <w:rFonts w:hint="eastAsia"/>
          <w:sz w:val="24"/>
          <w:szCs w:val="24"/>
        </w:rPr>
        <w:t>，并给出仪器性能的指标和评价，</w:t>
      </w:r>
      <w:r>
        <w:rPr>
          <w:sz w:val="24"/>
          <w:szCs w:val="24"/>
        </w:rPr>
        <w:t>以确保仪器运行状态是否正常</w:t>
      </w:r>
      <w:r>
        <w:rPr>
          <w:rFonts w:hint="eastAsia"/>
          <w:sz w:val="24"/>
          <w:szCs w:val="24"/>
        </w:rPr>
        <w:t>、</w:t>
      </w:r>
      <w:r>
        <w:rPr>
          <w:sz w:val="24"/>
          <w:szCs w:val="24"/>
        </w:rPr>
        <w:t>规范</w:t>
      </w:r>
      <w:r>
        <w:rPr>
          <w:rFonts w:hint="eastAsia"/>
          <w:sz w:val="24"/>
          <w:szCs w:val="24"/>
        </w:rPr>
        <w:t>。</w:t>
      </w:r>
    </w:p>
    <w:p>
      <w:pPr>
        <w:rPr>
          <w:sz w:val="24"/>
          <w:szCs w:val="24"/>
        </w:rPr>
      </w:pPr>
      <w:r>
        <w:rPr>
          <w:sz w:val="24"/>
          <w:szCs w:val="24"/>
        </w:rPr>
        <w:t>根据用户实际的验证需要</w:t>
      </w:r>
      <w:r>
        <w:rPr>
          <w:rFonts w:hint="eastAsia"/>
          <w:sz w:val="24"/>
          <w:szCs w:val="24"/>
        </w:rPr>
        <w:t>，</w:t>
      </w:r>
      <w:r>
        <w:rPr>
          <w:sz w:val="24"/>
          <w:szCs w:val="24"/>
        </w:rPr>
        <w:t>公司还能提供整套的质量标准校验物质</w:t>
      </w:r>
      <w:r>
        <w:rPr>
          <w:rFonts w:hint="eastAsia"/>
          <w:sz w:val="24"/>
          <w:szCs w:val="24"/>
        </w:rPr>
        <w:t>，</w:t>
      </w:r>
      <w:r>
        <w:rPr>
          <w:sz w:val="24"/>
          <w:szCs w:val="24"/>
        </w:rPr>
        <w:t>通过Prolab S450自定义设置验证程序</w:t>
      </w:r>
      <w:r>
        <w:rPr>
          <w:rFonts w:hint="eastAsia"/>
          <w:sz w:val="24"/>
          <w:szCs w:val="24"/>
        </w:rPr>
        <w:t>，</w:t>
      </w:r>
      <w:r>
        <w:rPr>
          <w:sz w:val="24"/>
          <w:szCs w:val="24"/>
        </w:rPr>
        <w:t>以满足不同验证的需求</w:t>
      </w:r>
      <w:r>
        <w:rPr>
          <w:rFonts w:hint="eastAsia"/>
          <w:sz w:val="24"/>
          <w:szCs w:val="24"/>
        </w:rPr>
        <w:t>。</w:t>
      </w:r>
    </w:p>
    <w:p>
      <w:pPr>
        <w:rPr>
          <w:sz w:val="24"/>
          <w:szCs w:val="24"/>
        </w:rPr>
      </w:pPr>
      <w:r>
        <w:rPr>
          <w:sz w:val="24"/>
          <w:szCs w:val="24"/>
        </w:rPr>
        <w:t>棱光技术公司的产品和服务完全符合所有的质量标准</w:t>
      </w:r>
      <w:r>
        <w:rPr>
          <w:rFonts w:hint="eastAsia"/>
          <w:sz w:val="24"/>
          <w:szCs w:val="24"/>
        </w:rPr>
        <w:t>，</w:t>
      </w:r>
      <w:r>
        <w:rPr>
          <w:sz w:val="24"/>
          <w:szCs w:val="24"/>
        </w:rPr>
        <w:t>如</w:t>
      </w:r>
      <w:r>
        <w:rPr>
          <w:rFonts w:hint="eastAsia"/>
          <w:sz w:val="24"/>
          <w:szCs w:val="24"/>
        </w:rPr>
        <w:t>ISO9001；满足企业的审核标准，并公认为光谱仪最专业的供应商，并为每个用户提供一套完整的仪器认证资料。</w:t>
      </w:r>
    </w:p>
    <w:p>
      <w:pPr>
        <w:rPr>
          <w:sz w:val="24"/>
          <w:szCs w:val="24"/>
        </w:rPr>
      </w:pPr>
      <w:r>
        <w:rPr>
          <w:rFonts w:hint="eastAsia"/>
          <w:sz w:val="24"/>
          <w:szCs w:val="24"/>
        </w:rPr>
        <w:t>4、</w:t>
      </w:r>
      <w:r>
        <w:rPr>
          <w:sz w:val="24"/>
          <w:szCs w:val="24"/>
        </w:rPr>
        <w:t>完善的服务</w:t>
      </w:r>
    </w:p>
    <w:p>
      <w:pPr>
        <w:rPr>
          <w:sz w:val="24"/>
          <w:szCs w:val="24"/>
        </w:rPr>
      </w:pPr>
      <w:r>
        <w:rPr>
          <w:rFonts w:hint="eastAsia"/>
          <w:sz w:val="24"/>
          <w:szCs w:val="24"/>
        </w:rPr>
        <w:t>公司拥有仪器开发，技术完善的多方位服务团队，能帮助用户熟悉采样附件的使用，光学元件的筛选及软件操作。还可以根据用户的需求，量身定制，为用户提供解决方案。此外与国内许多大学和研究所合作建立应用实验室，负责用户的方法开发，技术培训和信息咨询。</w:t>
      </w:r>
    </w:p>
    <w:p>
      <w:pPr>
        <w:rPr>
          <w:sz w:val="24"/>
          <w:szCs w:val="24"/>
        </w:rPr>
      </w:pPr>
      <w:r>
        <w:rPr>
          <w:sz w:val="24"/>
          <w:szCs w:val="24"/>
        </w:rPr>
        <w:t>公司拥有经验丰富的维修工程师</w:t>
      </w:r>
      <w:r>
        <w:rPr>
          <w:rFonts w:hint="eastAsia"/>
          <w:sz w:val="24"/>
          <w:szCs w:val="24"/>
        </w:rPr>
        <w:t>，</w:t>
      </w:r>
      <w:r>
        <w:rPr>
          <w:sz w:val="24"/>
          <w:szCs w:val="24"/>
        </w:rPr>
        <w:t>面向全国的近红外用户提供最专业的安装调试以及高水平的售后服务</w:t>
      </w:r>
      <w:r>
        <w:rPr>
          <w:rFonts w:hint="eastAsia"/>
          <w:sz w:val="24"/>
          <w:szCs w:val="24"/>
        </w:rPr>
        <w:t>，</w:t>
      </w:r>
      <w:r>
        <w:rPr>
          <w:sz w:val="24"/>
          <w:szCs w:val="24"/>
        </w:rPr>
        <w:t>来满足每一位用户的需求</w:t>
      </w:r>
      <w:r>
        <w:rPr>
          <w:rFonts w:hint="eastAsia"/>
          <w:sz w:val="24"/>
          <w:szCs w:val="24"/>
        </w:rPr>
        <w:t>。</w:t>
      </w:r>
    </w:p>
    <w:p>
      <w:pPr>
        <w:rPr>
          <w:sz w:val="40"/>
        </w:rPr>
      </w:pPr>
      <w:r>
        <w:rPr>
          <w:rFonts w:hint="eastAsia"/>
          <w:sz w:val="40"/>
        </w:rPr>
        <w:t>技术参数</w:t>
      </w:r>
    </w:p>
    <w:tbl>
      <w:tblPr>
        <w:tblStyle w:val="8"/>
        <w:tblW w:w="954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79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620" w:type="dxa"/>
            <w:vAlign w:val="center"/>
          </w:tcPr>
          <w:p>
            <w:pPr>
              <w:ind w:right="-103" w:rightChars="-49" w:firstLine="422"/>
              <w:jc w:val="center"/>
              <w:rPr>
                <w:rFonts w:ascii="Times New Roman" w:hAnsi="Times New Roman" w:eastAsia="宋体" w:cs="Times New Roman"/>
                <w:b/>
                <w:kern w:val="0"/>
                <w:sz w:val="20"/>
                <w:szCs w:val="21"/>
              </w:rPr>
            </w:pPr>
            <w:r>
              <w:rPr>
                <w:rFonts w:hint="eastAsia" w:ascii="Times New Roman" w:hAnsi="Times New Roman" w:eastAsia="宋体" w:cs="Times New Roman"/>
                <w:b/>
                <w:kern w:val="0"/>
                <w:sz w:val="20"/>
                <w:szCs w:val="21"/>
              </w:rPr>
              <w:t>项目</w:t>
            </w:r>
          </w:p>
        </w:tc>
        <w:tc>
          <w:tcPr>
            <w:tcW w:w="7921" w:type="dxa"/>
            <w:vAlign w:val="center"/>
          </w:tcPr>
          <w:p>
            <w:pPr>
              <w:ind w:right="-103" w:rightChars="-49"/>
              <w:jc w:val="center"/>
              <w:rPr>
                <w:rFonts w:ascii="Times New Roman" w:hAnsi="Times New Roman" w:eastAsia="宋体" w:cs="Times New Roman"/>
                <w:b/>
                <w:color w:val="000000"/>
                <w:kern w:val="0"/>
                <w:sz w:val="20"/>
                <w:szCs w:val="21"/>
              </w:rPr>
            </w:pPr>
            <w:r>
              <w:rPr>
                <w:rFonts w:hint="eastAsia" w:ascii="Times New Roman" w:hAnsi="Times New Roman" w:eastAsia="宋体" w:cs="Times New Roman"/>
                <w:b/>
                <w:color w:val="000000"/>
                <w:kern w:val="0"/>
                <w:sz w:val="20"/>
                <w:szCs w:val="21"/>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620" w:type="dxa"/>
            <w:vAlign w:val="center"/>
          </w:tcPr>
          <w:p>
            <w:pPr>
              <w:ind w:right="-103" w:rightChars="-49"/>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仪器型号</w:t>
            </w:r>
          </w:p>
        </w:tc>
        <w:tc>
          <w:tcPr>
            <w:tcW w:w="7921" w:type="dxa"/>
            <w:vAlign w:val="center"/>
          </w:tcPr>
          <w:p>
            <w:pPr>
              <w:ind w:right="-103" w:rightChars="-49"/>
              <w:jc w:val="center"/>
              <w:rPr>
                <w:rFonts w:ascii="Times New Roman" w:hAnsi="Times New Roman" w:eastAsia="宋体" w:cs="Times New Roman"/>
                <w:color w:val="000000"/>
                <w:kern w:val="0"/>
                <w:sz w:val="20"/>
                <w:szCs w:val="21"/>
              </w:rPr>
            </w:pPr>
            <w:r>
              <w:rPr>
                <w:rFonts w:hint="eastAsia" w:ascii="Times New Roman" w:hAnsi="Times New Roman" w:eastAsia="宋体" w:cs="Times New Roman"/>
                <w:color w:val="000000"/>
                <w:kern w:val="0"/>
                <w:sz w:val="20"/>
                <w:szCs w:val="21"/>
              </w:rPr>
              <w:t>S450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620" w:type="dxa"/>
            <w:vAlign w:val="center"/>
          </w:tcPr>
          <w:p>
            <w:pPr>
              <w:ind w:right="-103" w:rightChars="-49"/>
              <w:jc w:val="center"/>
              <w:rPr>
                <w:rFonts w:ascii="Times New Roman" w:hAnsi="Times New Roman" w:eastAsia="宋体" w:cs="Times New Roman"/>
                <w:b/>
                <w:color w:val="000000"/>
                <w:kern w:val="0"/>
                <w:sz w:val="20"/>
                <w:szCs w:val="21"/>
              </w:rPr>
            </w:pPr>
            <w:r>
              <w:rPr>
                <w:rFonts w:hint="eastAsia" w:ascii="Times New Roman" w:hAnsi="Times New Roman" w:eastAsia="宋体" w:cs="Times New Roman"/>
                <w:color w:val="000000"/>
                <w:kern w:val="0"/>
                <w:sz w:val="20"/>
                <w:szCs w:val="21"/>
              </w:rPr>
              <w:t>测量方式</w:t>
            </w:r>
          </w:p>
        </w:tc>
        <w:tc>
          <w:tcPr>
            <w:tcW w:w="7921" w:type="dxa"/>
            <w:vAlign w:val="center"/>
          </w:tcPr>
          <w:p>
            <w:pPr>
              <w:ind w:right="-103" w:rightChars="-49"/>
              <w:jc w:val="center"/>
              <w:rPr>
                <w:rFonts w:ascii="Times New Roman" w:hAnsi="Times New Roman" w:eastAsia="宋体" w:cs="Times New Roman"/>
                <w:color w:val="000000"/>
                <w:kern w:val="0"/>
                <w:sz w:val="20"/>
                <w:szCs w:val="21"/>
              </w:rPr>
            </w:pPr>
            <w:r>
              <w:rPr>
                <w:rFonts w:hint="eastAsia" w:ascii="Times New Roman" w:hAnsi="Times New Roman" w:eastAsia="宋体" w:cs="Times New Roman"/>
                <w:color w:val="000000"/>
                <w:kern w:val="0"/>
                <w:sz w:val="20"/>
                <w:szCs w:val="21"/>
              </w:rPr>
              <w:t>漫反射</w:t>
            </w:r>
            <w:r>
              <w:rPr>
                <w:rFonts w:ascii="Times New Roman" w:hAnsi="Times New Roman" w:eastAsia="宋体" w:cs="Times New Roman"/>
                <w:color w:val="000000"/>
                <w:kern w:val="0"/>
                <w:sz w:val="20"/>
                <w:szCs w:val="21"/>
              </w:rPr>
              <w:t>样品池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620" w:type="dxa"/>
            <w:vAlign w:val="center"/>
          </w:tcPr>
          <w:p>
            <w:pPr>
              <w:ind w:right="-103" w:rightChars="-49"/>
              <w:jc w:val="center"/>
              <w:rPr>
                <w:rFonts w:ascii="Times New Roman" w:hAnsi="Times New Roman" w:eastAsia="宋体" w:cs="Times New Roman"/>
                <w:b/>
                <w:kern w:val="0"/>
                <w:sz w:val="20"/>
                <w:szCs w:val="21"/>
              </w:rPr>
            </w:pPr>
            <w:r>
              <w:rPr>
                <w:rFonts w:hint="eastAsia" w:ascii="Times New Roman" w:hAnsi="Times New Roman" w:eastAsia="宋体" w:cs="Times New Roman"/>
                <w:kern w:val="0"/>
                <w:sz w:val="20"/>
                <w:szCs w:val="21"/>
              </w:rPr>
              <w:t>光谱带宽nm</w:t>
            </w:r>
          </w:p>
        </w:tc>
        <w:tc>
          <w:tcPr>
            <w:tcW w:w="7921" w:type="dxa"/>
            <w:vAlign w:val="center"/>
          </w:tcPr>
          <w:p>
            <w:pPr>
              <w:ind w:right="-103" w:rightChars="-49"/>
              <w:jc w:val="center"/>
              <w:rPr>
                <w:rFonts w:ascii="Times New Roman" w:hAnsi="Times New Roman" w:eastAsia="宋体" w:cs="Times New Roman"/>
                <w:b/>
                <w:color w:val="000000"/>
                <w:kern w:val="0"/>
                <w:sz w:val="20"/>
                <w:szCs w:val="21"/>
              </w:rPr>
            </w:pPr>
            <w:r>
              <w:rPr>
                <w:rFonts w:hint="eastAsia" w:ascii="Times New Roman" w:hAnsi="Times New Roman" w:eastAsia="宋体" w:cs="Times New Roman"/>
                <w:color w:val="000000"/>
                <w:kern w:val="0"/>
                <w:sz w:val="20"/>
                <w:szCs w:val="21"/>
              </w:rPr>
              <w:t>1</w:t>
            </w:r>
            <w:r>
              <w:rPr>
                <w:rFonts w:ascii="Times New Roman" w:hAnsi="Times New Roman" w:eastAsia="宋体" w:cs="Times New Roman"/>
                <w:color w:val="000000"/>
                <w:kern w:val="0"/>
                <w:sz w:val="2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620" w:type="dxa"/>
            <w:vAlign w:val="center"/>
          </w:tcPr>
          <w:p>
            <w:pPr>
              <w:ind w:right="-103" w:rightChars="-49"/>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波长范围nm</w:t>
            </w:r>
          </w:p>
        </w:tc>
        <w:tc>
          <w:tcPr>
            <w:tcW w:w="7921" w:type="dxa"/>
            <w:vAlign w:val="center"/>
          </w:tcPr>
          <w:p>
            <w:pPr>
              <w:ind w:right="-103" w:rightChars="-49"/>
              <w:jc w:val="center"/>
              <w:rPr>
                <w:rFonts w:ascii="Times New Roman" w:hAnsi="Times New Roman" w:eastAsia="宋体" w:cs="Times New Roman"/>
                <w:color w:val="000000"/>
                <w:kern w:val="0"/>
                <w:sz w:val="20"/>
                <w:szCs w:val="21"/>
              </w:rPr>
            </w:pPr>
            <w:r>
              <w:rPr>
                <w:rFonts w:ascii="Times New Roman" w:hAnsi="Times New Roman" w:eastAsia="宋体" w:cs="Times New Roman"/>
                <w:color w:val="000000"/>
                <w:kern w:val="0"/>
                <w:sz w:val="20"/>
                <w:szCs w:val="21"/>
              </w:rPr>
              <w:t>900</w:t>
            </w:r>
            <w:r>
              <w:rPr>
                <w:rFonts w:hint="eastAsia" w:ascii="Times New Roman" w:hAnsi="Times New Roman" w:eastAsia="宋体" w:cs="Times New Roman"/>
                <w:color w:val="000000"/>
                <w:kern w:val="0"/>
                <w:sz w:val="20"/>
                <w:szCs w:val="21"/>
              </w:rPr>
              <w:t>~</w:t>
            </w:r>
            <w:r>
              <w:rPr>
                <w:rFonts w:ascii="Times New Roman" w:hAnsi="Times New Roman" w:eastAsia="宋体" w:cs="Times New Roman"/>
                <w:color w:val="000000"/>
                <w:kern w:val="0"/>
                <w:sz w:val="20"/>
                <w:szCs w:val="21"/>
              </w:rP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620" w:type="dxa"/>
            <w:vAlign w:val="center"/>
          </w:tcPr>
          <w:p>
            <w:pPr>
              <w:ind w:right="-103" w:rightChars="-49"/>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波长准确性nm</w:t>
            </w:r>
          </w:p>
        </w:tc>
        <w:tc>
          <w:tcPr>
            <w:tcW w:w="7921" w:type="dxa"/>
            <w:vAlign w:val="center"/>
          </w:tcPr>
          <w:p>
            <w:pPr>
              <w:ind w:right="-103" w:rightChars="-49"/>
              <w:jc w:val="center"/>
              <w:rPr>
                <w:rFonts w:ascii="Times New Roman" w:hAnsi="Times New Roman" w:eastAsia="宋体" w:cs="Times New Roman"/>
                <w:color w:val="000000"/>
                <w:kern w:val="0"/>
                <w:sz w:val="20"/>
                <w:szCs w:val="21"/>
              </w:rPr>
            </w:pPr>
            <w:r>
              <w:rPr>
                <w:rFonts w:ascii="宋体" w:hAnsi="宋体" w:eastAsia="宋体" w:cs="Arial"/>
                <w:kern w:val="0"/>
                <w:sz w:val="20"/>
                <w:szCs w:val="21"/>
              </w:rPr>
              <w:t>≤</w:t>
            </w:r>
            <w:r>
              <w:rPr>
                <w:rFonts w:hint="eastAsia" w:ascii="宋体" w:hAnsi="宋体" w:eastAsia="宋体" w:cs="Times New Roman"/>
                <w:kern w:val="0"/>
                <w:sz w:val="20"/>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620" w:type="dxa"/>
            <w:vAlign w:val="center"/>
          </w:tcPr>
          <w:p>
            <w:pPr>
              <w:ind w:right="-103" w:rightChars="-49"/>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波长重复性nm</w:t>
            </w:r>
          </w:p>
        </w:tc>
        <w:tc>
          <w:tcPr>
            <w:tcW w:w="7921" w:type="dxa"/>
            <w:vAlign w:val="center"/>
          </w:tcPr>
          <w:p>
            <w:pPr>
              <w:ind w:right="-103" w:rightChars="-49"/>
              <w:jc w:val="center"/>
              <w:rPr>
                <w:rFonts w:ascii="Times New Roman" w:hAnsi="Times New Roman" w:eastAsia="宋体" w:cs="Times New Roman"/>
                <w:b/>
                <w:color w:val="000000"/>
                <w:kern w:val="0"/>
                <w:sz w:val="20"/>
                <w:szCs w:val="21"/>
              </w:rPr>
            </w:pPr>
            <w:r>
              <w:rPr>
                <w:rFonts w:ascii="宋体" w:hAnsi="宋体" w:eastAsia="宋体" w:cs="Arial"/>
                <w:kern w:val="0"/>
                <w:sz w:val="20"/>
                <w:szCs w:val="21"/>
              </w:rPr>
              <w:t>≤</w:t>
            </w:r>
            <w:r>
              <w:rPr>
                <w:rFonts w:hint="eastAsia" w:ascii="宋体" w:hAnsi="宋体" w:eastAsia="宋体" w:cs="Times New Roman"/>
                <w:kern w:val="0"/>
                <w:sz w:val="20"/>
                <w:szCs w:val="21"/>
              </w:rPr>
              <w:t>0.</w:t>
            </w:r>
            <w:r>
              <w:rPr>
                <w:rFonts w:ascii="宋体" w:hAnsi="宋体" w:eastAsia="宋体" w:cs="Times New Roman"/>
                <w:kern w:val="0"/>
                <w:sz w:val="20"/>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620" w:type="dxa"/>
            <w:vAlign w:val="center"/>
          </w:tcPr>
          <w:p>
            <w:pPr>
              <w:ind w:right="-103" w:rightChars="-49"/>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杂散光%</w:t>
            </w:r>
          </w:p>
        </w:tc>
        <w:tc>
          <w:tcPr>
            <w:tcW w:w="7921" w:type="dxa"/>
            <w:vAlign w:val="center"/>
          </w:tcPr>
          <w:p>
            <w:pPr>
              <w:ind w:right="-103" w:rightChars="-49"/>
              <w:jc w:val="center"/>
              <w:rPr>
                <w:rFonts w:ascii="Times New Roman" w:hAnsi="Times New Roman" w:eastAsia="宋体" w:cs="Times New Roman"/>
                <w:color w:val="000000"/>
                <w:kern w:val="0"/>
                <w:sz w:val="20"/>
                <w:szCs w:val="21"/>
              </w:rPr>
            </w:pPr>
            <w:r>
              <w:rPr>
                <w:rFonts w:ascii="宋体" w:hAnsi="宋体" w:eastAsia="宋体" w:cs="Arial"/>
                <w:kern w:val="0"/>
                <w:sz w:val="20"/>
                <w:szCs w:val="21"/>
              </w:rPr>
              <w:t>≤</w:t>
            </w:r>
            <w:r>
              <w:rPr>
                <w:rFonts w:hint="eastAsia" w:ascii="Times New Roman" w:hAnsi="Times New Roman" w:eastAsia="宋体" w:cs="Times New Roman"/>
                <w:color w:val="000000"/>
                <w:kern w:val="0"/>
                <w:sz w:val="20"/>
                <w:szCs w:val="21"/>
              </w:rPr>
              <w:t>0</w:t>
            </w:r>
            <w:r>
              <w:rPr>
                <w:rFonts w:ascii="Times New Roman" w:hAnsi="Times New Roman" w:eastAsia="宋体" w:cs="Times New Roman"/>
                <w:color w:val="000000"/>
                <w:kern w:val="0"/>
                <w:sz w:val="2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620" w:type="dxa"/>
            <w:vAlign w:val="center"/>
          </w:tcPr>
          <w:p>
            <w:pPr>
              <w:ind w:right="-103" w:rightChars="-49"/>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吸光度噪声Abs</w:t>
            </w:r>
          </w:p>
        </w:tc>
        <w:tc>
          <w:tcPr>
            <w:tcW w:w="7921" w:type="dxa"/>
            <w:vAlign w:val="center"/>
          </w:tcPr>
          <w:p>
            <w:pPr>
              <w:ind w:right="-103" w:rightChars="-49"/>
              <w:jc w:val="center"/>
              <w:rPr>
                <w:rFonts w:ascii="Times New Roman" w:hAnsi="Times New Roman" w:eastAsia="宋体" w:cs="Times New Roman"/>
                <w:color w:val="000000"/>
                <w:kern w:val="0"/>
                <w:sz w:val="20"/>
                <w:szCs w:val="21"/>
              </w:rPr>
            </w:pPr>
            <w:r>
              <w:rPr>
                <w:rFonts w:ascii="宋体" w:hAnsi="宋体" w:eastAsia="宋体" w:cs="Arial"/>
                <w:kern w:val="0"/>
                <w:sz w:val="20"/>
                <w:szCs w:val="21"/>
              </w:rPr>
              <w:t>≤</w:t>
            </w:r>
            <w:r>
              <w:rPr>
                <w:rFonts w:ascii="Times New Roman" w:hAnsi="Times New Roman" w:eastAsia="宋体" w:cs="Times New Roman"/>
                <w:kern w:val="0"/>
                <w:sz w:val="20"/>
                <w:szCs w:val="21"/>
              </w:rPr>
              <w:t>0.0005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620" w:type="dxa"/>
            <w:vAlign w:val="center"/>
          </w:tcPr>
          <w:p>
            <w:pPr>
              <w:ind w:right="-103" w:rightChars="-49"/>
              <w:jc w:val="center"/>
              <w:rPr>
                <w:rFonts w:ascii="Times New Roman" w:hAnsi="Times New Roman" w:eastAsia="宋体" w:cs="Times New Roman"/>
                <w:spacing w:val="-10"/>
                <w:kern w:val="0"/>
                <w:sz w:val="20"/>
                <w:szCs w:val="21"/>
              </w:rPr>
            </w:pPr>
            <w:r>
              <w:rPr>
                <w:rFonts w:hint="eastAsia" w:ascii="Times New Roman" w:hAnsi="Times New Roman" w:eastAsia="宋体" w:cs="Times New Roman"/>
                <w:spacing w:val="-10"/>
                <w:kern w:val="0"/>
                <w:sz w:val="20"/>
                <w:szCs w:val="21"/>
              </w:rPr>
              <w:t>分析时间</w:t>
            </w:r>
          </w:p>
        </w:tc>
        <w:tc>
          <w:tcPr>
            <w:tcW w:w="7921" w:type="dxa"/>
            <w:vAlign w:val="center"/>
          </w:tcPr>
          <w:p>
            <w:pPr>
              <w:ind w:right="-103" w:rightChars="-49"/>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1分钟（可调节）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620" w:type="dxa"/>
            <w:vAlign w:val="center"/>
          </w:tcPr>
          <w:p>
            <w:pPr>
              <w:ind w:right="-103" w:rightChars="-49"/>
              <w:jc w:val="center"/>
              <w:rPr>
                <w:rFonts w:ascii="Times New Roman" w:hAnsi="Times New Roman" w:eastAsia="宋体" w:cs="Times New Roman"/>
                <w:spacing w:val="-10"/>
                <w:kern w:val="0"/>
                <w:sz w:val="20"/>
                <w:szCs w:val="21"/>
              </w:rPr>
            </w:pPr>
            <w:r>
              <w:rPr>
                <w:rFonts w:ascii="Times New Roman" w:hAnsi="Times New Roman" w:eastAsia="宋体" w:cs="Times New Roman"/>
                <w:spacing w:val="-10"/>
                <w:kern w:val="0"/>
                <w:sz w:val="20"/>
                <w:szCs w:val="21"/>
              </w:rPr>
              <w:t>数据传输方式</w:t>
            </w:r>
          </w:p>
        </w:tc>
        <w:tc>
          <w:tcPr>
            <w:tcW w:w="7921" w:type="dxa"/>
            <w:vAlign w:val="center"/>
          </w:tcPr>
          <w:p>
            <w:pPr>
              <w:ind w:right="-103" w:rightChars="-49"/>
              <w:jc w:val="center"/>
              <w:rPr>
                <w:rFonts w:ascii="Times New Roman" w:hAnsi="Times New Roman" w:eastAsia="宋体" w:cs="Times New Roman"/>
                <w:kern w:val="0"/>
                <w:sz w:val="20"/>
                <w:szCs w:val="21"/>
              </w:rPr>
            </w:pPr>
            <w:r>
              <w:rPr>
                <w:rFonts w:ascii="Times New Roman" w:hAnsi="Times New Roman" w:eastAsia="宋体" w:cs="Times New Roman"/>
                <w:kern w:val="0"/>
                <w:sz w:val="20"/>
                <w:szCs w:val="21"/>
              </w:rPr>
              <w:t>USB2.0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exact"/>
          <w:jc w:val="center"/>
        </w:trPr>
        <w:tc>
          <w:tcPr>
            <w:tcW w:w="1620" w:type="dxa"/>
            <w:vAlign w:val="center"/>
          </w:tcPr>
          <w:p>
            <w:pPr>
              <w:ind w:right="-103" w:rightChars="-49"/>
              <w:jc w:val="center"/>
              <w:rPr>
                <w:rFonts w:ascii="Times New Roman" w:hAnsi="Times New Roman" w:eastAsia="宋体" w:cs="Times New Roman"/>
                <w:spacing w:val="-10"/>
                <w:kern w:val="0"/>
                <w:sz w:val="20"/>
                <w:szCs w:val="21"/>
              </w:rPr>
            </w:pPr>
            <w:r>
              <w:rPr>
                <w:rFonts w:ascii="Times New Roman" w:hAnsi="Times New Roman" w:eastAsia="宋体" w:cs="Times New Roman"/>
                <w:spacing w:val="-10"/>
                <w:kern w:val="0"/>
                <w:sz w:val="20"/>
                <w:szCs w:val="21"/>
              </w:rPr>
              <w:t>定标技术</w:t>
            </w:r>
          </w:p>
        </w:tc>
        <w:tc>
          <w:tcPr>
            <w:tcW w:w="7921" w:type="dxa"/>
            <w:vAlign w:val="center"/>
          </w:tcPr>
          <w:p>
            <w:pPr>
              <w:ind w:right="-103" w:rightChars="-49"/>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MPLS改进最小二乘法回归定标技术</w:t>
            </w:r>
          </w:p>
          <w:p>
            <w:pPr>
              <w:ind w:right="-103" w:rightChars="-49"/>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DPLS光谱鉴定及定性分析技术</w:t>
            </w:r>
          </w:p>
        </w:tc>
      </w:tr>
    </w:tbl>
    <w:p>
      <w:pPr>
        <w:rPr>
          <w:sz w:val="40"/>
        </w:rPr>
      </w:pPr>
      <w:r>
        <w:rPr>
          <w:sz w:val="40"/>
        </w:rPr>
        <w:t>安装要求</w:t>
      </w:r>
    </w:p>
    <w:tbl>
      <w:tblPr>
        <w:tblStyle w:val="8"/>
        <w:tblW w:w="949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7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620" w:type="dxa"/>
            <w:vAlign w:val="center"/>
          </w:tcPr>
          <w:p>
            <w:pPr>
              <w:ind w:right="-103" w:rightChars="-49" w:firstLine="422"/>
              <w:jc w:val="center"/>
              <w:rPr>
                <w:rFonts w:ascii="Times New Roman" w:hAnsi="Times New Roman" w:eastAsia="宋体" w:cs="Times New Roman"/>
                <w:b/>
                <w:kern w:val="0"/>
                <w:sz w:val="20"/>
                <w:szCs w:val="21"/>
              </w:rPr>
            </w:pPr>
            <w:r>
              <w:rPr>
                <w:rFonts w:hint="eastAsia" w:ascii="Times New Roman" w:hAnsi="Times New Roman" w:eastAsia="宋体" w:cs="Times New Roman"/>
                <w:b/>
                <w:kern w:val="0"/>
                <w:sz w:val="20"/>
                <w:szCs w:val="21"/>
              </w:rPr>
              <w:t>项目</w:t>
            </w:r>
          </w:p>
        </w:tc>
        <w:tc>
          <w:tcPr>
            <w:tcW w:w="7874" w:type="dxa"/>
            <w:vAlign w:val="center"/>
          </w:tcPr>
          <w:p>
            <w:pPr>
              <w:ind w:right="-103" w:rightChars="-49" w:firstLine="422"/>
              <w:jc w:val="center"/>
              <w:rPr>
                <w:rFonts w:ascii="Times New Roman" w:hAnsi="Times New Roman" w:eastAsia="宋体" w:cs="Times New Roman"/>
                <w:b/>
                <w:color w:val="000000"/>
                <w:kern w:val="0"/>
                <w:sz w:val="20"/>
                <w:szCs w:val="21"/>
              </w:rPr>
            </w:pPr>
            <w:r>
              <w:rPr>
                <w:rFonts w:hint="eastAsia" w:ascii="Times New Roman" w:hAnsi="Times New Roman" w:eastAsia="宋体" w:cs="Times New Roman"/>
                <w:b/>
                <w:color w:val="000000"/>
                <w:kern w:val="0"/>
                <w:sz w:val="20"/>
                <w:szCs w:val="21"/>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620" w:type="dxa"/>
            <w:vAlign w:val="center"/>
          </w:tcPr>
          <w:p>
            <w:pPr>
              <w:ind w:right="-103" w:rightChars="-49"/>
              <w:jc w:val="center"/>
              <w:rPr>
                <w:rFonts w:ascii="Times New Roman" w:hAnsi="Times New Roman" w:eastAsia="宋体" w:cs="Times New Roman"/>
                <w:b/>
                <w:kern w:val="0"/>
                <w:sz w:val="20"/>
                <w:szCs w:val="21"/>
              </w:rPr>
            </w:pPr>
            <w:r>
              <w:rPr>
                <w:rFonts w:hint="eastAsia" w:ascii="Times New Roman" w:hAnsi="Times New Roman" w:eastAsia="宋体" w:cs="Times New Roman"/>
                <w:spacing w:val="-10"/>
                <w:kern w:val="0"/>
                <w:sz w:val="20"/>
                <w:szCs w:val="21"/>
              </w:rPr>
              <w:t>电压</w:t>
            </w:r>
          </w:p>
        </w:tc>
        <w:tc>
          <w:tcPr>
            <w:tcW w:w="7874" w:type="dxa"/>
            <w:vAlign w:val="center"/>
          </w:tcPr>
          <w:p>
            <w:pPr>
              <w:ind w:right="-103" w:rightChars="-49" w:firstLine="422"/>
              <w:jc w:val="center"/>
              <w:rPr>
                <w:rFonts w:ascii="Times New Roman" w:hAnsi="Times New Roman" w:eastAsia="宋体" w:cs="Times New Roman"/>
                <w:b/>
                <w:color w:val="000000"/>
                <w:kern w:val="0"/>
                <w:sz w:val="20"/>
                <w:szCs w:val="21"/>
              </w:rPr>
            </w:pPr>
            <w:r>
              <w:rPr>
                <w:rFonts w:hint="eastAsia" w:ascii="Times New Roman" w:hAnsi="Times New Roman" w:eastAsia="宋体" w:cs="Times New Roman"/>
                <w:b/>
                <w:color w:val="000000"/>
                <w:kern w:val="0"/>
                <w:sz w:val="20"/>
                <w:szCs w:val="21"/>
              </w:rPr>
              <w:t>90~</w:t>
            </w:r>
            <w:r>
              <w:rPr>
                <w:rFonts w:ascii="Times New Roman" w:hAnsi="Times New Roman" w:eastAsia="宋体" w:cs="Times New Roman"/>
                <w:b/>
                <w:color w:val="000000"/>
                <w:kern w:val="0"/>
                <w:sz w:val="20"/>
                <w:szCs w:val="21"/>
              </w:rPr>
              <w:t>250V</w:t>
            </w:r>
            <w:r>
              <w:rPr>
                <w:rFonts w:hint="eastAsia" w:ascii="Times New Roman" w:hAnsi="Times New Roman" w:eastAsia="宋体" w:cs="Times New Roman"/>
                <w:b/>
                <w:color w:val="000000"/>
                <w:kern w:val="0"/>
                <w:sz w:val="20"/>
                <w:szCs w:val="21"/>
              </w:rPr>
              <w:t>、50</w:t>
            </w:r>
            <w:r>
              <w:rPr>
                <w:rFonts w:ascii="Times New Roman" w:hAnsi="Times New Roman" w:eastAsia="宋体" w:cs="Times New Roman"/>
                <w:b/>
                <w:color w:val="000000"/>
                <w:kern w:val="0"/>
                <w:sz w:val="20"/>
                <w:szCs w:val="21"/>
              </w:rPr>
              <w:t>Hz(</w:t>
            </w:r>
            <w:r>
              <w:rPr>
                <w:rFonts w:hint="eastAsia" w:ascii="Times New Roman" w:hAnsi="Times New Roman" w:eastAsia="宋体" w:cs="Times New Roman"/>
                <w:b/>
                <w:color w:val="000000"/>
                <w:kern w:val="0"/>
                <w:sz w:val="20"/>
                <w:szCs w:val="21"/>
              </w:rPr>
              <w:t>或60</w:t>
            </w:r>
            <w:r>
              <w:rPr>
                <w:rFonts w:ascii="Times New Roman" w:hAnsi="Times New Roman" w:eastAsia="宋体" w:cs="Times New Roman"/>
                <w:b/>
                <w:color w:val="000000"/>
                <w:kern w:val="0"/>
                <w:sz w:val="20"/>
                <w:szCs w:val="21"/>
              </w:rPr>
              <w:t>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620" w:type="dxa"/>
            <w:vAlign w:val="center"/>
          </w:tcPr>
          <w:p>
            <w:pPr>
              <w:ind w:right="-103" w:rightChars="-49"/>
              <w:jc w:val="center"/>
              <w:rPr>
                <w:rFonts w:ascii="Times New Roman" w:hAnsi="Times New Roman" w:eastAsia="宋体" w:cs="Times New Roman"/>
                <w:spacing w:val="-10"/>
                <w:kern w:val="0"/>
                <w:sz w:val="20"/>
                <w:szCs w:val="21"/>
              </w:rPr>
            </w:pPr>
            <w:r>
              <w:rPr>
                <w:rFonts w:ascii="Times New Roman" w:hAnsi="Times New Roman" w:eastAsia="宋体" w:cs="Times New Roman"/>
                <w:spacing w:val="-10"/>
                <w:kern w:val="0"/>
                <w:sz w:val="20"/>
                <w:szCs w:val="21"/>
              </w:rPr>
              <w:t>环境温度</w:t>
            </w:r>
            <w:r>
              <w:rPr>
                <w:rFonts w:ascii="Times New Roman" w:hAnsi="Times New Roman" w:eastAsia="宋体" w:cs="Times New Roman"/>
                <w:kern w:val="0"/>
                <w:sz w:val="20"/>
                <w:szCs w:val="21"/>
              </w:rPr>
              <w:t>℃</w:t>
            </w:r>
          </w:p>
        </w:tc>
        <w:tc>
          <w:tcPr>
            <w:tcW w:w="7874" w:type="dxa"/>
            <w:vAlign w:val="center"/>
          </w:tcPr>
          <w:p>
            <w:pPr>
              <w:ind w:right="-103" w:rightChars="-49"/>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5~35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620" w:type="dxa"/>
            <w:vAlign w:val="center"/>
          </w:tcPr>
          <w:p>
            <w:pPr>
              <w:ind w:right="-103" w:rightChars="-49"/>
              <w:jc w:val="center"/>
              <w:rPr>
                <w:rFonts w:ascii="Times New Roman" w:hAnsi="Times New Roman" w:eastAsia="宋体" w:cs="Times New Roman"/>
                <w:spacing w:val="-10"/>
                <w:kern w:val="0"/>
                <w:sz w:val="20"/>
                <w:szCs w:val="21"/>
              </w:rPr>
            </w:pPr>
            <w:r>
              <w:rPr>
                <w:rFonts w:hint="eastAsia" w:ascii="Times New Roman" w:hAnsi="Times New Roman" w:eastAsia="宋体" w:cs="Times New Roman"/>
                <w:spacing w:val="-10"/>
                <w:kern w:val="0"/>
                <w:sz w:val="20"/>
                <w:szCs w:val="21"/>
              </w:rPr>
              <w:t>环境湿度%</w:t>
            </w:r>
            <w:r>
              <w:rPr>
                <w:rFonts w:ascii="Times New Roman" w:hAnsi="Times New Roman" w:eastAsia="宋体" w:cs="Times New Roman"/>
                <w:spacing w:val="-10"/>
                <w:kern w:val="0"/>
                <w:sz w:val="20"/>
                <w:szCs w:val="21"/>
              </w:rPr>
              <w:t>RH</w:t>
            </w:r>
          </w:p>
        </w:tc>
        <w:tc>
          <w:tcPr>
            <w:tcW w:w="7874" w:type="dxa"/>
            <w:vAlign w:val="center"/>
          </w:tcPr>
          <w:p>
            <w:pPr>
              <w:ind w:right="-103" w:rightChars="-49"/>
              <w:jc w:val="center"/>
              <w:rPr>
                <w:rFonts w:ascii="Times New Roman" w:hAnsi="Times New Roman" w:eastAsia="宋体" w:cs="Times New Roman"/>
                <w:kern w:val="0"/>
                <w:sz w:val="20"/>
                <w:szCs w:val="21"/>
              </w:rPr>
            </w:pPr>
            <w:r>
              <w:rPr>
                <w:rFonts w:ascii="Times New Roman" w:hAnsi="Times New Roman" w:eastAsia="宋体" w:cs="Times New Roman"/>
                <w:kern w:val="0"/>
                <w:sz w:val="20"/>
                <w:szCs w:val="21"/>
              </w:rPr>
              <w:t>5</w:t>
            </w:r>
            <w:r>
              <w:rPr>
                <w:rFonts w:hint="eastAsia" w:ascii="Times New Roman" w:hAnsi="Times New Roman" w:eastAsia="宋体" w:cs="Times New Roman"/>
                <w:kern w:val="0"/>
                <w:sz w:val="20"/>
                <w:szCs w:val="21"/>
              </w:rPr>
              <w:t>~</w:t>
            </w:r>
            <w:r>
              <w:rPr>
                <w:rFonts w:ascii="Times New Roman" w:hAnsi="Times New Roman" w:eastAsia="宋体" w:cs="Times New Roman"/>
                <w:kern w:val="0"/>
                <w:sz w:val="20"/>
                <w:szCs w:val="21"/>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620" w:type="dxa"/>
            <w:vAlign w:val="center"/>
          </w:tcPr>
          <w:p>
            <w:pPr>
              <w:ind w:right="-103" w:rightChars="-49"/>
              <w:jc w:val="center"/>
              <w:rPr>
                <w:rFonts w:ascii="Times New Roman" w:hAnsi="Times New Roman" w:eastAsia="宋体" w:cs="Times New Roman"/>
                <w:b/>
                <w:color w:val="000000"/>
                <w:kern w:val="0"/>
                <w:sz w:val="20"/>
                <w:szCs w:val="21"/>
              </w:rPr>
            </w:pPr>
            <w:r>
              <w:rPr>
                <w:rFonts w:ascii="Times New Roman" w:hAnsi="Times New Roman" w:eastAsia="宋体" w:cs="Times New Roman"/>
                <w:color w:val="000000"/>
                <w:kern w:val="0"/>
                <w:sz w:val="20"/>
                <w:szCs w:val="21"/>
              </w:rPr>
              <w:t>尺寸mm</w:t>
            </w:r>
          </w:p>
        </w:tc>
        <w:tc>
          <w:tcPr>
            <w:tcW w:w="7874" w:type="dxa"/>
            <w:vAlign w:val="center"/>
          </w:tcPr>
          <w:p>
            <w:pPr>
              <w:ind w:right="-103" w:rightChars="-49"/>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540X380X220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620" w:type="dxa"/>
            <w:vAlign w:val="center"/>
          </w:tcPr>
          <w:p>
            <w:pPr>
              <w:ind w:right="-103" w:rightChars="-49"/>
              <w:jc w:val="center"/>
              <w:rPr>
                <w:rFonts w:ascii="Times New Roman" w:hAnsi="Times New Roman" w:eastAsia="宋体" w:cs="Times New Roman"/>
                <w:b/>
                <w:color w:val="000000"/>
                <w:kern w:val="0"/>
                <w:sz w:val="20"/>
                <w:szCs w:val="21"/>
              </w:rPr>
            </w:pPr>
            <w:r>
              <w:rPr>
                <w:rFonts w:ascii="Times New Roman" w:hAnsi="Times New Roman" w:eastAsia="宋体" w:cs="Times New Roman"/>
                <w:color w:val="000000"/>
                <w:kern w:val="0"/>
                <w:sz w:val="20"/>
                <w:szCs w:val="21"/>
              </w:rPr>
              <w:t>重量kg</w:t>
            </w:r>
          </w:p>
        </w:tc>
        <w:tc>
          <w:tcPr>
            <w:tcW w:w="7874" w:type="dxa"/>
            <w:vAlign w:val="center"/>
          </w:tcPr>
          <w:p>
            <w:pPr>
              <w:ind w:right="-103" w:rightChars="-49"/>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18</w:t>
            </w:r>
          </w:p>
        </w:tc>
      </w:tr>
    </w:tbl>
    <w:p>
      <w:pPr>
        <w:rPr>
          <w:sz w:val="24"/>
        </w:rPr>
      </w:pPr>
    </w:p>
    <w:p>
      <w:pPr>
        <w:rPr>
          <w:sz w:val="24"/>
        </w:rPr>
      </w:pPr>
      <w:r>
        <w:rPr>
          <w:rFonts w:hint="eastAsia"/>
          <w:sz w:val="24"/>
        </w:rPr>
        <w:drawing>
          <wp:anchor distT="0" distB="0" distL="114300" distR="114300" simplePos="0" relativeHeight="251683840" behindDoc="0" locked="0" layoutInCell="1" allowOverlap="1">
            <wp:simplePos x="0" y="0"/>
            <wp:positionH relativeFrom="column">
              <wp:posOffset>-400050</wp:posOffset>
            </wp:positionH>
            <wp:positionV relativeFrom="paragraph">
              <wp:posOffset>45720</wp:posOffset>
            </wp:positionV>
            <wp:extent cx="2305050" cy="2305050"/>
            <wp:effectExtent l="19050" t="0" r="0"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305050" cy="2305050"/>
                    </a:xfrm>
                    <a:prstGeom prst="rect">
                      <a:avLst/>
                    </a:prstGeom>
                  </pic:spPr>
                </pic:pic>
              </a:graphicData>
            </a:graphic>
          </wp:anchor>
        </w:drawing>
      </w:r>
    </w:p>
    <w:p>
      <w:pPr>
        <w:rPr>
          <w:sz w:val="24"/>
        </w:rPr>
      </w:pPr>
    </w:p>
    <w:p>
      <w:pPr>
        <w:rPr>
          <w:sz w:val="24"/>
        </w:rPr>
      </w:pPr>
    </w:p>
    <w:p>
      <w:pPr>
        <w:rPr>
          <w:sz w:val="24"/>
        </w:rPr>
      </w:pPr>
    </w:p>
    <w:p>
      <w:pPr>
        <w:rPr>
          <w:sz w:val="24"/>
        </w:rPr>
      </w:pPr>
    </w:p>
    <w:p>
      <w:pPr>
        <w:rPr>
          <w:sz w:val="24"/>
        </w:rPr>
      </w:pPr>
    </w:p>
    <w:p>
      <w:pPr>
        <w:rPr>
          <w:sz w:val="24"/>
        </w:rPr>
      </w:pPr>
      <w:r>
        <w:rPr>
          <w:sz w:val="24"/>
        </w:rPr>
        <w:t>上海棱光技术有限公司</w:t>
      </w:r>
    </w:p>
    <w:p>
      <w:pPr>
        <w:rPr>
          <w:sz w:val="24"/>
        </w:rPr>
      </w:pPr>
      <w:r>
        <w:rPr>
          <w:rFonts w:hint="eastAsia"/>
          <w:sz w:val="24"/>
        </w:rPr>
        <w:t>地址：上海市打浦路350号四楼</w:t>
      </w:r>
    </w:p>
    <w:p>
      <w:pPr>
        <w:rPr>
          <w:sz w:val="24"/>
        </w:rPr>
      </w:pPr>
      <w:r>
        <w:rPr>
          <w:rFonts w:hint="eastAsia"/>
          <w:sz w:val="24"/>
        </w:rPr>
        <w:t>邮编：200023</w:t>
      </w:r>
    </w:p>
    <w:p>
      <w:pPr>
        <w:rPr>
          <w:sz w:val="28"/>
        </w:rPr>
      </w:pPr>
      <w:r>
        <w:rPr>
          <w:rFonts w:hint="eastAsia"/>
          <w:sz w:val="24"/>
        </w:rPr>
        <w:t>电话：021-63025595021-64959623 021-63032547</w:t>
      </w:r>
    </w:p>
    <w:p>
      <w:pPr>
        <w:rPr>
          <w:sz w:val="24"/>
        </w:rPr>
      </w:pPr>
      <w:r>
        <w:rPr>
          <w:rFonts w:hint="eastAsia"/>
          <w:sz w:val="24"/>
        </w:rPr>
        <w:t>传真：021-63011573 53520146</w:t>
      </w:r>
    </w:p>
    <w:p>
      <w:pPr>
        <w:rPr>
          <w:sz w:val="32"/>
        </w:rPr>
      </w:pPr>
      <w:r>
        <w:rPr>
          <w:rFonts w:hint="eastAsia"/>
          <w:sz w:val="24"/>
        </w:rPr>
        <w:t>Email：lengguang@lengguang.com</w:t>
      </w:r>
    </w:p>
    <w:sectPr>
      <w:headerReference r:id="rId3" w:type="default"/>
      <w:footerReference r:id="rId4" w:type="default"/>
      <w:pgSz w:w="11906" w:h="16838"/>
      <w:pgMar w:top="1440" w:right="1800" w:bottom="1276" w:left="1800" w:header="283" w:footer="283"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Calibri Light">
    <w:panose1 w:val="020F0302020204030204"/>
    <w:charset w:val="00"/>
    <w:family w:val="swiss"/>
    <w:pitch w:val="default"/>
    <w:sig w:usb0="A00002EF" w:usb1="4000207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rPr>
        <w:color w:val="000000" w:themeColor="text1"/>
        <w:sz w:val="24"/>
      </w:rPr>
    </w:pPr>
    <w:r>
      <w:rPr>
        <w:color w:val="000000" w:themeColor="text1"/>
        <w:sz w:val="24"/>
      </w:rPr>
      <w:t>如你希望了解更多产品详情</w:t>
    </w:r>
    <w:r>
      <w:rPr>
        <w:rFonts w:hint="eastAsia"/>
        <w:color w:val="000000" w:themeColor="text1"/>
        <w:sz w:val="24"/>
      </w:rPr>
      <w:t>，</w:t>
    </w:r>
    <w:r>
      <w:rPr>
        <w:color w:val="000000" w:themeColor="text1"/>
        <w:sz w:val="24"/>
      </w:rPr>
      <w:t>请访问公司官网</w:t>
    </w:r>
    <w:r>
      <w:fldChar w:fldCharType="begin"/>
    </w:r>
    <w:r>
      <w:instrText xml:space="preserve"> HYPERLINK "http://www.lengguang.com/" </w:instrText>
    </w:r>
    <w:r>
      <w:fldChar w:fldCharType="separate"/>
    </w:r>
    <w:r>
      <w:rPr>
        <w:rStyle w:val="6"/>
        <w:color w:val="000000" w:themeColor="text1"/>
        <w:sz w:val="24"/>
      </w:rPr>
      <w:t>www.lengguang.com</w:t>
    </w:r>
    <w:r>
      <w:rPr>
        <w:rStyle w:val="6"/>
        <w:color w:val="000000" w:themeColor="text1"/>
        <w:sz w:val="24"/>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color w:val="000000" w:themeColor="text1"/>
        <w:sz w:val="24"/>
      </w:rPr>
    </w:pPr>
    <w:r>
      <w:rPr>
        <w:color w:val="000000" w:themeColor="text1"/>
        <w:sz w:val="36"/>
      </w:rPr>
      <w:drawing>
        <wp:anchor distT="0" distB="0" distL="114300" distR="114300" simplePos="0" relativeHeight="251658240" behindDoc="1" locked="0" layoutInCell="1" allowOverlap="1">
          <wp:simplePos x="0" y="0"/>
          <wp:positionH relativeFrom="column">
            <wp:posOffset>6985</wp:posOffset>
          </wp:positionH>
          <wp:positionV relativeFrom="paragraph">
            <wp:posOffset>-50165</wp:posOffset>
          </wp:positionV>
          <wp:extent cx="1352550" cy="336550"/>
          <wp:effectExtent l="0" t="0" r="635" b="635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52255" cy="336594"/>
                  </a:xfrm>
                  <a:prstGeom prst="rect">
                    <a:avLst/>
                  </a:prstGeom>
                </pic:spPr>
              </pic:pic>
            </a:graphicData>
          </a:graphic>
        </wp:anchor>
      </w:drawing>
    </w:r>
    <w:r>
      <w:rPr>
        <w:color w:val="000000" w:themeColor="text1"/>
        <w:sz w:val="36"/>
      </w:rPr>
      <w:t>上海棱光技术有限公司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7C0116"/>
    <w:multiLevelType w:val="multilevel"/>
    <w:tmpl w:val="237C011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displayBackgroundShape w:val="1"/>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2BC0"/>
    <w:rsid w:val="00011A4A"/>
    <w:rsid w:val="000142B0"/>
    <w:rsid w:val="00030523"/>
    <w:rsid w:val="000351E9"/>
    <w:rsid w:val="00035F07"/>
    <w:rsid w:val="000512EA"/>
    <w:rsid w:val="00066FFF"/>
    <w:rsid w:val="00082FDE"/>
    <w:rsid w:val="00084357"/>
    <w:rsid w:val="000847F4"/>
    <w:rsid w:val="00092792"/>
    <w:rsid w:val="00093CBE"/>
    <w:rsid w:val="000A12DC"/>
    <w:rsid w:val="000C43AD"/>
    <w:rsid w:val="000D57DF"/>
    <w:rsid w:val="000D5F5F"/>
    <w:rsid w:val="000D6599"/>
    <w:rsid w:val="000E1BA9"/>
    <w:rsid w:val="000F13ED"/>
    <w:rsid w:val="000F5697"/>
    <w:rsid w:val="00107869"/>
    <w:rsid w:val="001126C4"/>
    <w:rsid w:val="00127505"/>
    <w:rsid w:val="00131351"/>
    <w:rsid w:val="00147769"/>
    <w:rsid w:val="0015098F"/>
    <w:rsid w:val="00150F6E"/>
    <w:rsid w:val="0016138F"/>
    <w:rsid w:val="00161C99"/>
    <w:rsid w:val="001744CF"/>
    <w:rsid w:val="00177606"/>
    <w:rsid w:val="00182E51"/>
    <w:rsid w:val="00196329"/>
    <w:rsid w:val="001B11A8"/>
    <w:rsid w:val="001B34F8"/>
    <w:rsid w:val="001C4E86"/>
    <w:rsid w:val="001D10B1"/>
    <w:rsid w:val="001D199A"/>
    <w:rsid w:val="001D5F04"/>
    <w:rsid w:val="001D6086"/>
    <w:rsid w:val="001F7CCB"/>
    <w:rsid w:val="00203933"/>
    <w:rsid w:val="002205F2"/>
    <w:rsid w:val="00225810"/>
    <w:rsid w:val="002556C9"/>
    <w:rsid w:val="00264EED"/>
    <w:rsid w:val="00265969"/>
    <w:rsid w:val="00267A2E"/>
    <w:rsid w:val="002759A8"/>
    <w:rsid w:val="00287C80"/>
    <w:rsid w:val="002A24AF"/>
    <w:rsid w:val="002A6146"/>
    <w:rsid w:val="002B0E4C"/>
    <w:rsid w:val="002B2865"/>
    <w:rsid w:val="002B5370"/>
    <w:rsid w:val="002B5809"/>
    <w:rsid w:val="002B6DC7"/>
    <w:rsid w:val="002C2DF8"/>
    <w:rsid w:val="002C3D02"/>
    <w:rsid w:val="002C6A95"/>
    <w:rsid w:val="002D0DA8"/>
    <w:rsid w:val="002F69C2"/>
    <w:rsid w:val="002F7E87"/>
    <w:rsid w:val="002F7FF3"/>
    <w:rsid w:val="0030031D"/>
    <w:rsid w:val="00300AE4"/>
    <w:rsid w:val="00303C9C"/>
    <w:rsid w:val="0031570F"/>
    <w:rsid w:val="00317CF6"/>
    <w:rsid w:val="00321D15"/>
    <w:rsid w:val="0033777C"/>
    <w:rsid w:val="00340FC4"/>
    <w:rsid w:val="00351439"/>
    <w:rsid w:val="00351DDD"/>
    <w:rsid w:val="00352B07"/>
    <w:rsid w:val="00361A45"/>
    <w:rsid w:val="0036439E"/>
    <w:rsid w:val="0037405E"/>
    <w:rsid w:val="00377059"/>
    <w:rsid w:val="0039070F"/>
    <w:rsid w:val="00394481"/>
    <w:rsid w:val="003949FC"/>
    <w:rsid w:val="00395CB2"/>
    <w:rsid w:val="003A0855"/>
    <w:rsid w:val="003A3D3C"/>
    <w:rsid w:val="003A6C45"/>
    <w:rsid w:val="003B3B41"/>
    <w:rsid w:val="003B3CCF"/>
    <w:rsid w:val="003D2CA5"/>
    <w:rsid w:val="003E0F45"/>
    <w:rsid w:val="003E2507"/>
    <w:rsid w:val="003F7094"/>
    <w:rsid w:val="003F7B1E"/>
    <w:rsid w:val="00400CB6"/>
    <w:rsid w:val="004273C2"/>
    <w:rsid w:val="00434CE6"/>
    <w:rsid w:val="0044736D"/>
    <w:rsid w:val="0045460E"/>
    <w:rsid w:val="004618EC"/>
    <w:rsid w:val="004651BA"/>
    <w:rsid w:val="00475151"/>
    <w:rsid w:val="00485CF4"/>
    <w:rsid w:val="0048691B"/>
    <w:rsid w:val="004910EF"/>
    <w:rsid w:val="004A4E64"/>
    <w:rsid w:val="004B37FD"/>
    <w:rsid w:val="004C01A0"/>
    <w:rsid w:val="004F13AC"/>
    <w:rsid w:val="004F3912"/>
    <w:rsid w:val="004F5329"/>
    <w:rsid w:val="004F6814"/>
    <w:rsid w:val="005041E1"/>
    <w:rsid w:val="005100AE"/>
    <w:rsid w:val="00522B64"/>
    <w:rsid w:val="0053322B"/>
    <w:rsid w:val="00550A35"/>
    <w:rsid w:val="00565354"/>
    <w:rsid w:val="005671EE"/>
    <w:rsid w:val="00583765"/>
    <w:rsid w:val="00591185"/>
    <w:rsid w:val="00594F1A"/>
    <w:rsid w:val="005B4DE7"/>
    <w:rsid w:val="005B4F6B"/>
    <w:rsid w:val="005C0B8A"/>
    <w:rsid w:val="005C5D9F"/>
    <w:rsid w:val="005D3ACC"/>
    <w:rsid w:val="005D3E79"/>
    <w:rsid w:val="005D4CC9"/>
    <w:rsid w:val="005F3AA5"/>
    <w:rsid w:val="005F45F2"/>
    <w:rsid w:val="005F4A50"/>
    <w:rsid w:val="005F5265"/>
    <w:rsid w:val="005F5336"/>
    <w:rsid w:val="005F6C87"/>
    <w:rsid w:val="005F7568"/>
    <w:rsid w:val="00612038"/>
    <w:rsid w:val="00625A74"/>
    <w:rsid w:val="00640E1A"/>
    <w:rsid w:val="006471C3"/>
    <w:rsid w:val="00657E5A"/>
    <w:rsid w:val="006603E6"/>
    <w:rsid w:val="00674CF8"/>
    <w:rsid w:val="006757D1"/>
    <w:rsid w:val="006D5323"/>
    <w:rsid w:val="006E6B3B"/>
    <w:rsid w:val="006F3FEE"/>
    <w:rsid w:val="00700E80"/>
    <w:rsid w:val="007044DB"/>
    <w:rsid w:val="0070742F"/>
    <w:rsid w:val="00710E46"/>
    <w:rsid w:val="007136E1"/>
    <w:rsid w:val="007376C9"/>
    <w:rsid w:val="00742DD7"/>
    <w:rsid w:val="0075372B"/>
    <w:rsid w:val="00756C7A"/>
    <w:rsid w:val="00770A54"/>
    <w:rsid w:val="00771854"/>
    <w:rsid w:val="007813AB"/>
    <w:rsid w:val="00781D01"/>
    <w:rsid w:val="00784B49"/>
    <w:rsid w:val="00786CFD"/>
    <w:rsid w:val="0079772E"/>
    <w:rsid w:val="007A2E55"/>
    <w:rsid w:val="007A34FF"/>
    <w:rsid w:val="007B081A"/>
    <w:rsid w:val="007B37D7"/>
    <w:rsid w:val="007B5FD8"/>
    <w:rsid w:val="007B6513"/>
    <w:rsid w:val="007D6DF2"/>
    <w:rsid w:val="007F32A4"/>
    <w:rsid w:val="007F5FBE"/>
    <w:rsid w:val="0082058D"/>
    <w:rsid w:val="00820FED"/>
    <w:rsid w:val="008215AE"/>
    <w:rsid w:val="00822FD1"/>
    <w:rsid w:val="00825F26"/>
    <w:rsid w:val="008408EF"/>
    <w:rsid w:val="008418A1"/>
    <w:rsid w:val="00843444"/>
    <w:rsid w:val="00844D37"/>
    <w:rsid w:val="008508B9"/>
    <w:rsid w:val="00863D7F"/>
    <w:rsid w:val="00863DB2"/>
    <w:rsid w:val="00877E96"/>
    <w:rsid w:val="00880C9A"/>
    <w:rsid w:val="00890FE0"/>
    <w:rsid w:val="0089365B"/>
    <w:rsid w:val="00894734"/>
    <w:rsid w:val="00897D0B"/>
    <w:rsid w:val="008B6015"/>
    <w:rsid w:val="008C0E2A"/>
    <w:rsid w:val="008C7EB8"/>
    <w:rsid w:val="008D0057"/>
    <w:rsid w:val="008E03D6"/>
    <w:rsid w:val="008E2903"/>
    <w:rsid w:val="008E59E5"/>
    <w:rsid w:val="008E6F4C"/>
    <w:rsid w:val="008F0CC0"/>
    <w:rsid w:val="0093609C"/>
    <w:rsid w:val="009504A7"/>
    <w:rsid w:val="009529CB"/>
    <w:rsid w:val="00953B76"/>
    <w:rsid w:val="009658EA"/>
    <w:rsid w:val="009705C2"/>
    <w:rsid w:val="0097327E"/>
    <w:rsid w:val="009911DE"/>
    <w:rsid w:val="0099278F"/>
    <w:rsid w:val="009B3F53"/>
    <w:rsid w:val="009B742B"/>
    <w:rsid w:val="009B7707"/>
    <w:rsid w:val="009C32FF"/>
    <w:rsid w:val="009C690F"/>
    <w:rsid w:val="009F54ED"/>
    <w:rsid w:val="00A00E3B"/>
    <w:rsid w:val="00A01BBD"/>
    <w:rsid w:val="00A0381A"/>
    <w:rsid w:val="00A061D7"/>
    <w:rsid w:val="00A11800"/>
    <w:rsid w:val="00A11FA3"/>
    <w:rsid w:val="00A15FFD"/>
    <w:rsid w:val="00A24AB5"/>
    <w:rsid w:val="00A60053"/>
    <w:rsid w:val="00A6181D"/>
    <w:rsid w:val="00A73B00"/>
    <w:rsid w:val="00A77181"/>
    <w:rsid w:val="00A83912"/>
    <w:rsid w:val="00A902CB"/>
    <w:rsid w:val="00AB7999"/>
    <w:rsid w:val="00AC29D9"/>
    <w:rsid w:val="00AF00BA"/>
    <w:rsid w:val="00AF2D5A"/>
    <w:rsid w:val="00AF78E8"/>
    <w:rsid w:val="00B06ED2"/>
    <w:rsid w:val="00B11791"/>
    <w:rsid w:val="00B1314C"/>
    <w:rsid w:val="00B369BB"/>
    <w:rsid w:val="00B55434"/>
    <w:rsid w:val="00B604FB"/>
    <w:rsid w:val="00B60BB0"/>
    <w:rsid w:val="00B70C72"/>
    <w:rsid w:val="00B70CAA"/>
    <w:rsid w:val="00B72BC8"/>
    <w:rsid w:val="00B735A4"/>
    <w:rsid w:val="00B7466C"/>
    <w:rsid w:val="00B74D36"/>
    <w:rsid w:val="00B7605B"/>
    <w:rsid w:val="00B86645"/>
    <w:rsid w:val="00B95395"/>
    <w:rsid w:val="00BA473B"/>
    <w:rsid w:val="00BA59D0"/>
    <w:rsid w:val="00BB283A"/>
    <w:rsid w:val="00BC7DC5"/>
    <w:rsid w:val="00BD1235"/>
    <w:rsid w:val="00BD12C7"/>
    <w:rsid w:val="00BD2D34"/>
    <w:rsid w:val="00BE23D6"/>
    <w:rsid w:val="00BE54E1"/>
    <w:rsid w:val="00C001FC"/>
    <w:rsid w:val="00C1333C"/>
    <w:rsid w:val="00C27D8A"/>
    <w:rsid w:val="00C310F6"/>
    <w:rsid w:val="00C4382A"/>
    <w:rsid w:val="00C44B40"/>
    <w:rsid w:val="00C47F51"/>
    <w:rsid w:val="00C76ED7"/>
    <w:rsid w:val="00C925E4"/>
    <w:rsid w:val="00C94A8C"/>
    <w:rsid w:val="00CA3C93"/>
    <w:rsid w:val="00CA51A7"/>
    <w:rsid w:val="00CB10CD"/>
    <w:rsid w:val="00CB39B2"/>
    <w:rsid w:val="00CB3E60"/>
    <w:rsid w:val="00CB6D88"/>
    <w:rsid w:val="00CC4C4D"/>
    <w:rsid w:val="00CE3C93"/>
    <w:rsid w:val="00CE5EE5"/>
    <w:rsid w:val="00CF04F6"/>
    <w:rsid w:val="00D05999"/>
    <w:rsid w:val="00D24E5C"/>
    <w:rsid w:val="00D35126"/>
    <w:rsid w:val="00D412A4"/>
    <w:rsid w:val="00D4747F"/>
    <w:rsid w:val="00D51CBF"/>
    <w:rsid w:val="00D52C2E"/>
    <w:rsid w:val="00D563A5"/>
    <w:rsid w:val="00D62D5A"/>
    <w:rsid w:val="00D6501F"/>
    <w:rsid w:val="00D66121"/>
    <w:rsid w:val="00D7073A"/>
    <w:rsid w:val="00D75A3E"/>
    <w:rsid w:val="00D905DE"/>
    <w:rsid w:val="00D9302D"/>
    <w:rsid w:val="00DA7F55"/>
    <w:rsid w:val="00DC2818"/>
    <w:rsid w:val="00DC4B32"/>
    <w:rsid w:val="00DC79AD"/>
    <w:rsid w:val="00DD00B5"/>
    <w:rsid w:val="00DE64F3"/>
    <w:rsid w:val="00E31442"/>
    <w:rsid w:val="00E529DD"/>
    <w:rsid w:val="00E62BC0"/>
    <w:rsid w:val="00E71361"/>
    <w:rsid w:val="00E82C11"/>
    <w:rsid w:val="00E83719"/>
    <w:rsid w:val="00E9341B"/>
    <w:rsid w:val="00EA0904"/>
    <w:rsid w:val="00EA12D0"/>
    <w:rsid w:val="00EB0936"/>
    <w:rsid w:val="00EC6708"/>
    <w:rsid w:val="00EE2F31"/>
    <w:rsid w:val="00EF36DD"/>
    <w:rsid w:val="00EF73FE"/>
    <w:rsid w:val="00F20C78"/>
    <w:rsid w:val="00F250FB"/>
    <w:rsid w:val="00F37F9F"/>
    <w:rsid w:val="00F40CC5"/>
    <w:rsid w:val="00F459FC"/>
    <w:rsid w:val="00F476DA"/>
    <w:rsid w:val="00F55AB4"/>
    <w:rsid w:val="00FA0471"/>
    <w:rsid w:val="00FA6EA1"/>
    <w:rsid w:val="00FB0B39"/>
    <w:rsid w:val="00FB26F7"/>
    <w:rsid w:val="00FC635B"/>
    <w:rsid w:val="00FD2439"/>
    <w:rsid w:val="00FE243A"/>
    <w:rsid w:val="00FF1939"/>
    <w:rsid w:val="43FC479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2"/>
    <w:qFormat/>
    <w:uiPriority w:val="9"/>
    <w:pPr>
      <w:keepNext/>
      <w:keepLines/>
      <w:spacing w:before="340" w:after="330" w:line="578" w:lineRule="auto"/>
      <w:outlineLvl w:val="0"/>
    </w:pPr>
    <w:rPr>
      <w:b/>
      <w:bCs/>
      <w:kern w:val="44"/>
      <w:sz w:val="44"/>
      <w:szCs w:val="44"/>
    </w:rPr>
  </w:style>
  <w:style w:type="character" w:default="1" w:styleId="5">
    <w:name w:val="Default Paragraph Font"/>
    <w:semiHidden/>
    <w:unhideWhenUsed/>
    <w:uiPriority w:val="1"/>
  </w:style>
  <w:style w:type="table" w:default="1" w:styleId="7">
    <w:name w:val="Normal Table"/>
    <w:semiHidden/>
    <w:unhideWhenUsed/>
    <w:qFormat/>
    <w:uiPriority w:val="99"/>
    <w:tblPr>
      <w:tblLayout w:type="fixed"/>
      <w:tblCellMar>
        <w:top w:w="0" w:type="dxa"/>
        <w:left w:w="108" w:type="dxa"/>
        <w:bottom w:w="0" w:type="dxa"/>
        <w:right w:w="108" w:type="dxa"/>
      </w:tblCellMar>
    </w:tblPr>
  </w:style>
  <w:style w:type="paragraph" w:styleId="3">
    <w:name w:val="footer"/>
    <w:basedOn w:val="1"/>
    <w:link w:val="11"/>
    <w:unhideWhenUsed/>
    <w:qFormat/>
    <w:uiPriority w:val="99"/>
    <w:pPr>
      <w:tabs>
        <w:tab w:val="center" w:pos="4153"/>
        <w:tab w:val="right" w:pos="8306"/>
      </w:tabs>
      <w:snapToGrid w:val="0"/>
      <w:jc w:val="left"/>
    </w:pPr>
    <w:rPr>
      <w:sz w:val="18"/>
      <w:szCs w:val="18"/>
    </w:rPr>
  </w:style>
  <w:style w:type="paragraph" w:styleId="4">
    <w:name w:val="header"/>
    <w:basedOn w:val="1"/>
    <w:link w:val="10"/>
    <w:unhideWhenUsed/>
    <w:uiPriority w:val="99"/>
    <w:pPr>
      <w:pBdr>
        <w:bottom w:val="single" w:color="auto" w:sz="6" w:space="1"/>
      </w:pBdr>
      <w:tabs>
        <w:tab w:val="center" w:pos="4153"/>
        <w:tab w:val="right" w:pos="8306"/>
      </w:tabs>
      <w:snapToGrid w:val="0"/>
      <w:jc w:val="center"/>
    </w:pPr>
    <w:rPr>
      <w:sz w:val="18"/>
      <w:szCs w:val="18"/>
    </w:rPr>
  </w:style>
  <w:style w:type="character" w:styleId="6">
    <w:name w:val="Hyperlink"/>
    <w:basedOn w:val="5"/>
    <w:unhideWhenUsed/>
    <w:uiPriority w:val="99"/>
    <w:rPr>
      <w:color w:val="0563C1" w:themeColor="hyperlink"/>
      <w:u w:val="single"/>
    </w:rPr>
  </w:style>
  <w:style w:type="table" w:styleId="8">
    <w:name w:val="Table Grid"/>
    <w:basedOn w:val="7"/>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styleId="9">
    <w:name w:val="List Paragraph"/>
    <w:basedOn w:val="1"/>
    <w:qFormat/>
    <w:uiPriority w:val="34"/>
    <w:pPr>
      <w:ind w:firstLine="420" w:firstLineChars="200"/>
    </w:pPr>
  </w:style>
  <w:style w:type="character" w:customStyle="1" w:styleId="10">
    <w:name w:val="页眉 Char"/>
    <w:basedOn w:val="5"/>
    <w:link w:val="4"/>
    <w:qFormat/>
    <w:uiPriority w:val="99"/>
    <w:rPr>
      <w:sz w:val="18"/>
      <w:szCs w:val="18"/>
    </w:rPr>
  </w:style>
  <w:style w:type="character" w:customStyle="1" w:styleId="11">
    <w:name w:val="页脚 Char"/>
    <w:basedOn w:val="5"/>
    <w:link w:val="3"/>
    <w:qFormat/>
    <w:uiPriority w:val="99"/>
    <w:rPr>
      <w:sz w:val="18"/>
      <w:szCs w:val="18"/>
    </w:rPr>
  </w:style>
  <w:style w:type="character" w:customStyle="1" w:styleId="12">
    <w:name w:val="标题 1 Char"/>
    <w:basedOn w:val="5"/>
    <w:link w:val="2"/>
    <w:qFormat/>
    <w:uiPriority w:val="9"/>
    <w:rPr>
      <w:b/>
      <w:bCs/>
      <w:kern w:val="44"/>
      <w:sz w:val="44"/>
      <w:szCs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364</Words>
  <Characters>2077</Characters>
  <Lines>17</Lines>
  <Paragraphs>4</Paragraphs>
  <TotalTime>0</TotalTime>
  <ScaleCrop>false</ScaleCrop>
  <LinksUpToDate>false</LinksUpToDate>
  <CharactersWithSpaces>2437</CharactersWithSpaces>
  <Application>WPS Office_10.1.0.7106_F1E327BC-269C-435d-A152-05C5408002CA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2018-01-08T06:05:00Z</dcterms:created>
  <dc:creator>王虎</dc:creator>
  <cp:lastModifiedBy>xy</cp:lastModifiedBy>
  <cp:lastPrinted>2018-01-16T02:43:47Z</cp:lastPrinted>
  <dcterms:modified xsi:type="dcterms:W3CDTF">2018-01-16T02:44:14Z</dcterms:modified>
  <cp:revision>81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2052-10.1.0.7106</vt:lpwstr>
  </property>
</Properties>
</file>