
<file path=[Content_Types].xml><?xml version="1.0" encoding="utf-8"?>
<Types xmlns="http://schemas.openxmlformats.org/package/2006/content-types">
  <Default Extension="xml" ContentType="application/xml"/>
  <Default Extension="jpeg" ContentType="image/jpeg"/>
  <Default Extension="tiff" ContentType="image/tif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rPr>
      </w:pPr>
      <w:r>
        <w:rPr>
          <w:rFonts w:hint="eastAsia"/>
          <w:sz w:val="52"/>
        </w:rPr>
        <w:t>S430近红外光谱分析仪</w:t>
      </w:r>
    </w:p>
    <w:p>
      <w:pPr>
        <w:ind w:left="-540" w:firstLine="540"/>
        <w:jc w:val="right"/>
        <w:rPr>
          <w:szCs w:val="21"/>
        </w:rPr>
      </w:pPr>
      <w:r>
        <w:rPr>
          <w:rFonts w:hint="eastAsia"/>
          <w:szCs w:val="21"/>
        </w:rPr>
        <w:t>——适用于对油料、酒类、饮料等液体品质的快速无损分析</w:t>
      </w:r>
    </w:p>
    <w:p>
      <w:pPr>
        <w:ind w:firstLine="426"/>
        <w:rPr>
          <w:rFonts w:hint="eastAsia" w:asciiTheme="minorEastAsia" w:hAnsiTheme="minorEastAsia"/>
          <w:sz w:val="24"/>
          <w:szCs w:val="24"/>
        </w:rPr>
      </w:pPr>
    </w:p>
    <w:p>
      <w:pPr>
        <w:ind w:firstLine="426"/>
        <w:rPr>
          <w:rFonts w:hint="eastAsia" w:asciiTheme="minorEastAsia" w:hAnsiTheme="minorEastAsia"/>
          <w:sz w:val="24"/>
          <w:szCs w:val="24"/>
        </w:rPr>
      </w:pPr>
      <w:r>
        <w:rPr>
          <w:rFonts w:hint="eastAsia" w:asciiTheme="minorEastAsia" w:hAnsiTheme="minorEastAsia"/>
          <w:sz w:val="24"/>
          <w:szCs w:val="24"/>
        </w:rPr>
        <w:t>S430近红外分光光度计是一款光栅型近红外分析光谱仪。仪器基于液体透射方式进行样品分析，波长范围覆盖900nm-2500nm。主要用于液体样品的无损检测。分析过程极为便捷，只要将比色皿装满样品，放入仪器样品台上，点击仪器操作软件，一分钟左右即可得出样品的近红外光谱数据，结合相应近红外数据模型，可同时得出被测样品多种成分的分析结果。</w:t>
      </w:r>
    </w:p>
    <w:p>
      <w:pPr>
        <w:ind w:firstLine="426"/>
        <w:rPr>
          <w:rFonts w:hint="eastAsia" w:asciiTheme="minorEastAsia" w:hAnsiTheme="minorEastAsia"/>
          <w:sz w:val="24"/>
          <w:szCs w:val="24"/>
        </w:rPr>
      </w:pPr>
    </w:p>
    <w:p>
      <w:pPr>
        <w:ind w:firstLine="420"/>
        <w:rPr>
          <w:rFonts w:asciiTheme="minorEastAsia" w:hAnsiTheme="minorEastAsia"/>
          <w:sz w:val="24"/>
          <w:szCs w:val="24"/>
        </w:rPr>
      </w:pPr>
      <w:r>
        <w:rPr>
          <w:rFonts w:hint="eastAsia" w:asciiTheme="minorEastAsia" w:hAnsiTheme="minorEastAsia"/>
          <w:sz w:val="24"/>
          <w:szCs w:val="24"/>
        </w:rPr>
        <w:t>S430近红外分光光度计可广泛应用于油料、酒类、饮料等液体品质的快速无损分析，可实时可靠地分析液体原料、半成品、成品等的品质成分。</w:t>
      </w:r>
    </w:p>
    <w:p>
      <w:pPr>
        <w:widowControl/>
        <w:jc w:val="left"/>
        <w:rPr>
          <w:sz w:val="32"/>
        </w:rPr>
      </w:pPr>
      <w:r>
        <w:rPr>
          <w:sz w:val="32"/>
        </w:rPr>
        <w:drawing>
          <wp:inline distT="0" distB="0" distL="0" distR="0">
            <wp:extent cx="5274310" cy="3590925"/>
            <wp:effectExtent l="19050" t="0" r="2540" b="0"/>
            <wp:docPr id="1" name="图片 0" descr="S430中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S430中文.jpg"/>
                    <pic:cNvPicPr>
                      <a:picLocks noChangeAspect="1"/>
                    </pic:cNvPicPr>
                  </pic:nvPicPr>
                  <pic:blipFill>
                    <a:blip r:embed="rId6" cstate="print"/>
                    <a:srcRect t="18773" b="13177"/>
                    <a:stretch>
                      <a:fillRect/>
                    </a:stretch>
                  </pic:blipFill>
                  <pic:spPr>
                    <a:xfrm>
                      <a:off x="0" y="0"/>
                      <a:ext cx="5274310" cy="3590925"/>
                    </a:xfrm>
                    <a:prstGeom prst="rect">
                      <a:avLst/>
                    </a:prstGeom>
                  </pic:spPr>
                </pic:pic>
              </a:graphicData>
            </a:graphic>
          </wp:inline>
        </w:drawing>
      </w:r>
    </w:p>
    <w:p>
      <w:pPr>
        <w:widowControl/>
        <w:jc w:val="left"/>
        <w:rPr>
          <w:sz w:val="24"/>
          <w:szCs w:val="24"/>
        </w:rPr>
      </w:pPr>
      <w:r>
        <w:rPr>
          <w:sz w:val="24"/>
          <w:szCs w:val="24"/>
        </w:rPr>
        <w:t>特点</w:t>
      </w:r>
      <w:r>
        <w:rPr>
          <w:rFonts w:hint="eastAsia"/>
          <w:sz w:val="24"/>
          <w:szCs w:val="24"/>
        </w:rPr>
        <w:t>：</w:t>
      </w:r>
    </w:p>
    <w:p>
      <w:pPr>
        <w:pStyle w:val="10"/>
        <w:widowControl/>
        <w:numPr>
          <w:ilvl w:val="0"/>
          <w:numId w:val="1"/>
        </w:numPr>
        <w:ind w:firstLineChars="0"/>
        <w:jc w:val="left"/>
        <w:rPr>
          <w:sz w:val="24"/>
          <w:szCs w:val="24"/>
        </w:rPr>
      </w:pPr>
      <w:r>
        <w:rPr>
          <w:rFonts w:hint="eastAsia"/>
          <w:sz w:val="24"/>
          <w:szCs w:val="24"/>
        </w:rPr>
        <w:t>操作简单，无需样品前处理，不破坏样品。</w:t>
      </w:r>
    </w:p>
    <w:p>
      <w:pPr>
        <w:pStyle w:val="10"/>
        <w:widowControl/>
        <w:numPr>
          <w:ilvl w:val="0"/>
          <w:numId w:val="1"/>
        </w:numPr>
        <w:ind w:firstLineChars="0"/>
        <w:jc w:val="left"/>
        <w:rPr>
          <w:sz w:val="24"/>
          <w:szCs w:val="24"/>
        </w:rPr>
      </w:pPr>
      <w:r>
        <w:rPr>
          <w:rFonts w:hint="eastAsia"/>
          <w:sz w:val="24"/>
          <w:szCs w:val="24"/>
        </w:rPr>
        <w:t>900nm-2500</w:t>
      </w:r>
      <w:r>
        <w:rPr>
          <w:sz w:val="24"/>
          <w:szCs w:val="24"/>
        </w:rPr>
        <w:t>nm超宽光谱范围</w:t>
      </w:r>
      <w:r>
        <w:rPr>
          <w:rFonts w:hint="eastAsia"/>
          <w:sz w:val="24"/>
          <w:szCs w:val="24"/>
        </w:rPr>
        <w:t>，分析速度快。1分钟内可同时检出多项成份指标。</w:t>
      </w:r>
    </w:p>
    <w:p>
      <w:pPr>
        <w:pStyle w:val="10"/>
        <w:widowControl/>
        <w:numPr>
          <w:ilvl w:val="0"/>
          <w:numId w:val="1"/>
        </w:numPr>
        <w:ind w:firstLineChars="0"/>
        <w:jc w:val="left"/>
        <w:rPr>
          <w:sz w:val="24"/>
          <w:szCs w:val="24"/>
        </w:rPr>
      </w:pPr>
      <w:r>
        <w:rPr>
          <w:rFonts w:hint="eastAsia"/>
          <w:sz w:val="24"/>
          <w:szCs w:val="24"/>
        </w:rPr>
        <w:t>核心进口品质，主要零件性能均为国际领先水平。</w:t>
      </w:r>
    </w:p>
    <w:p>
      <w:pPr>
        <w:pStyle w:val="10"/>
        <w:widowControl/>
        <w:numPr>
          <w:ilvl w:val="0"/>
          <w:numId w:val="1"/>
        </w:numPr>
        <w:ind w:firstLineChars="0"/>
        <w:jc w:val="left"/>
        <w:rPr>
          <w:sz w:val="24"/>
          <w:szCs w:val="24"/>
        </w:rPr>
      </w:pPr>
      <w:r>
        <w:rPr>
          <w:rFonts w:hint="eastAsia"/>
          <w:sz w:val="24"/>
          <w:szCs w:val="24"/>
        </w:rPr>
        <w:t>内置优质PTFE参比模块和</w:t>
      </w:r>
      <w:r>
        <w:rPr>
          <w:sz w:val="24"/>
          <w:szCs w:val="24"/>
        </w:rPr>
        <w:t>聚苯乙烯波长标准片</w:t>
      </w:r>
      <w:r>
        <w:rPr>
          <w:rFonts w:hint="eastAsia"/>
          <w:sz w:val="24"/>
          <w:szCs w:val="24"/>
        </w:rPr>
        <w:t>，自动参比校正和监控波长，确保测量结果精准稳定。</w:t>
      </w:r>
    </w:p>
    <w:p>
      <w:pPr>
        <w:pStyle w:val="10"/>
        <w:widowControl/>
        <w:numPr>
          <w:ilvl w:val="0"/>
          <w:numId w:val="1"/>
        </w:numPr>
        <w:ind w:firstLineChars="0"/>
        <w:jc w:val="left"/>
        <w:rPr>
          <w:sz w:val="24"/>
          <w:szCs w:val="24"/>
        </w:rPr>
      </w:pPr>
      <w:r>
        <w:rPr>
          <w:rFonts w:hint="eastAsia"/>
          <w:sz w:val="24"/>
          <w:szCs w:val="24"/>
        </w:rPr>
        <w:t>多台仪器间能够进行良好的模型传递，每台仪器</w:t>
      </w:r>
      <w:r>
        <w:rPr>
          <w:sz w:val="24"/>
          <w:szCs w:val="24"/>
        </w:rPr>
        <w:t>严格按照行业推荐方法进行校准</w:t>
      </w:r>
      <w:r>
        <w:rPr>
          <w:rFonts w:hint="eastAsia"/>
          <w:sz w:val="24"/>
          <w:szCs w:val="24"/>
        </w:rPr>
        <w:t>、</w:t>
      </w:r>
      <w:r>
        <w:rPr>
          <w:sz w:val="24"/>
          <w:szCs w:val="24"/>
        </w:rPr>
        <w:t>鉴定和验证</w:t>
      </w:r>
      <w:r>
        <w:rPr>
          <w:rFonts w:hint="eastAsia"/>
          <w:sz w:val="24"/>
          <w:szCs w:val="24"/>
        </w:rPr>
        <w:t>，所有</w:t>
      </w:r>
      <w:r>
        <w:rPr>
          <w:sz w:val="24"/>
          <w:szCs w:val="24"/>
        </w:rPr>
        <w:t>测试均使用</w:t>
      </w:r>
      <w:r>
        <w:rPr>
          <w:rFonts w:hint="eastAsia"/>
          <w:sz w:val="24"/>
          <w:szCs w:val="24"/>
        </w:rPr>
        <w:t>NIST可溯源的标准品。</w:t>
      </w:r>
    </w:p>
    <w:p>
      <w:pPr>
        <w:pStyle w:val="10"/>
        <w:widowControl/>
        <w:numPr>
          <w:ilvl w:val="0"/>
          <w:numId w:val="1"/>
        </w:numPr>
        <w:ind w:firstLineChars="0"/>
        <w:jc w:val="left"/>
        <w:rPr>
          <w:sz w:val="24"/>
          <w:szCs w:val="24"/>
        </w:rPr>
      </w:pPr>
      <w:r>
        <w:rPr>
          <w:rFonts w:hint="eastAsia"/>
          <w:sz w:val="24"/>
          <w:szCs w:val="24"/>
        </w:rPr>
        <w:t>仪器实时监测环境温湿度并存储于光谱文件中，便于用户查阅和优化测量条件。</w:t>
      </w:r>
    </w:p>
    <w:p>
      <w:pPr>
        <w:pStyle w:val="10"/>
        <w:widowControl/>
        <w:numPr>
          <w:ilvl w:val="0"/>
          <w:numId w:val="1"/>
        </w:numPr>
        <w:ind w:firstLineChars="0"/>
        <w:jc w:val="left"/>
        <w:rPr>
          <w:sz w:val="24"/>
          <w:szCs w:val="24"/>
        </w:rPr>
      </w:pPr>
      <w:r>
        <w:rPr>
          <w:rFonts w:hint="eastAsia"/>
          <w:sz w:val="24"/>
          <w:szCs w:val="24"/>
        </w:rPr>
        <w:t>软件</w:t>
      </w:r>
      <w:r>
        <w:rPr>
          <w:sz w:val="24"/>
          <w:szCs w:val="24"/>
        </w:rPr>
        <w:t>操作简单</w:t>
      </w:r>
      <w:r>
        <w:rPr>
          <w:rFonts w:hint="eastAsia"/>
          <w:sz w:val="24"/>
          <w:szCs w:val="24"/>
        </w:rPr>
        <w:t>，</w:t>
      </w:r>
      <w:r>
        <w:rPr>
          <w:sz w:val="24"/>
          <w:szCs w:val="24"/>
        </w:rPr>
        <w:t>界面直观</w:t>
      </w:r>
      <w:r>
        <w:rPr>
          <w:rFonts w:hint="eastAsia"/>
          <w:sz w:val="24"/>
          <w:szCs w:val="24"/>
        </w:rPr>
        <w:t>，</w:t>
      </w:r>
      <w:r>
        <w:rPr>
          <w:sz w:val="24"/>
          <w:szCs w:val="24"/>
        </w:rPr>
        <w:t>权限管理功能可满足不同场合的使用需求</w:t>
      </w:r>
      <w:r>
        <w:rPr>
          <w:rFonts w:hint="eastAsia"/>
          <w:sz w:val="24"/>
          <w:szCs w:val="24"/>
        </w:rPr>
        <w:t>。</w:t>
      </w:r>
    </w:p>
    <w:p>
      <w:pPr>
        <w:pStyle w:val="10"/>
        <w:widowControl/>
        <w:numPr>
          <w:numId w:val="0"/>
        </w:numPr>
        <w:jc w:val="left"/>
        <w:rPr>
          <w:rFonts w:hint="eastAsia"/>
          <w:sz w:val="24"/>
          <w:szCs w:val="24"/>
        </w:rPr>
      </w:pPr>
    </w:p>
    <w:p>
      <w:pPr>
        <w:pStyle w:val="10"/>
        <w:widowControl/>
        <w:numPr>
          <w:numId w:val="0"/>
        </w:numPr>
        <w:jc w:val="left"/>
        <w:rPr>
          <w:rFonts w:hint="eastAsia"/>
          <w:sz w:val="24"/>
          <w:szCs w:val="24"/>
        </w:rPr>
      </w:pPr>
    </w:p>
    <w:p>
      <w:pPr>
        <w:pStyle w:val="10"/>
        <w:widowControl/>
        <w:numPr>
          <w:numId w:val="0"/>
        </w:numPr>
        <w:jc w:val="left"/>
        <w:rPr>
          <w:rFonts w:hint="eastAsia"/>
          <w:sz w:val="24"/>
          <w:szCs w:val="24"/>
        </w:rPr>
      </w:pPr>
    </w:p>
    <w:p>
      <w:pPr>
        <w:pStyle w:val="10"/>
        <w:widowControl/>
        <w:numPr>
          <w:ilvl w:val="0"/>
          <w:numId w:val="1"/>
        </w:numPr>
        <w:ind w:firstLineChars="0"/>
        <w:jc w:val="left"/>
        <w:rPr>
          <w:sz w:val="24"/>
          <w:szCs w:val="24"/>
        </w:rPr>
      </w:pPr>
      <w:r>
        <w:rPr>
          <w:rFonts w:hint="eastAsia"/>
          <w:sz w:val="24"/>
          <w:szCs w:val="24"/>
        </w:rPr>
        <w:t>结合中国农业大学近红外光谱分析软件（CAUNIRS），可建立权威专业的近红外定量、定性分析模型。</w:t>
      </w:r>
    </w:p>
    <w:p>
      <w:pPr>
        <w:pStyle w:val="10"/>
        <w:widowControl/>
        <w:numPr>
          <w:ilvl w:val="0"/>
          <w:numId w:val="1"/>
        </w:numPr>
        <w:ind w:firstLineChars="0"/>
        <w:jc w:val="left"/>
        <w:rPr>
          <w:rFonts w:hint="eastAsia"/>
          <w:sz w:val="24"/>
          <w:szCs w:val="24"/>
        </w:rPr>
      </w:pPr>
      <w:r>
        <w:rPr>
          <w:rFonts w:hint="eastAsia"/>
          <w:sz w:val="24"/>
          <w:szCs w:val="24"/>
        </w:rPr>
        <w:t>仪器结构紧凑小巧，方便用于现场测试。</w:t>
      </w:r>
    </w:p>
    <w:p>
      <w:pPr>
        <w:pStyle w:val="10"/>
        <w:widowControl/>
        <w:ind w:left="420" w:firstLine="0" w:firstLineChars="0"/>
        <w:jc w:val="left"/>
        <w:rPr>
          <w:sz w:val="24"/>
          <w:szCs w:val="24"/>
        </w:rPr>
      </w:pPr>
    </w:p>
    <w:p>
      <w:r>
        <w:rPr>
          <w:rFonts w:hint="eastAsia"/>
        </w:rPr>
        <w:t>方便、易用</w:t>
      </w:r>
    </w:p>
    <w:p>
      <w:pPr>
        <w:rPr>
          <w:sz w:val="24"/>
          <w:szCs w:val="24"/>
        </w:rPr>
      </w:pPr>
      <w:r>
        <w:rPr>
          <w:rFonts w:hint="eastAsia"/>
          <w:sz w:val="24"/>
          <w:szCs w:val="24"/>
        </w:rPr>
        <w:t>1、简便的操作控制</w:t>
      </w:r>
    </w:p>
    <w:p>
      <w:pPr>
        <w:rPr>
          <w:sz w:val="24"/>
          <w:szCs w:val="24"/>
        </w:rPr>
      </w:pPr>
      <w:r>
        <w:rPr>
          <w:rFonts w:hint="eastAsia"/>
          <w:sz w:val="24"/>
          <w:szCs w:val="24"/>
        </w:rPr>
        <w:drawing>
          <wp:anchor distT="0" distB="0" distL="114300" distR="114300" simplePos="0" relativeHeight="251675648" behindDoc="0" locked="0" layoutInCell="1" allowOverlap="1">
            <wp:simplePos x="0" y="0"/>
            <wp:positionH relativeFrom="column">
              <wp:posOffset>3124200</wp:posOffset>
            </wp:positionH>
            <wp:positionV relativeFrom="paragraph">
              <wp:posOffset>584835</wp:posOffset>
            </wp:positionV>
            <wp:extent cx="2752725" cy="2095500"/>
            <wp:effectExtent l="19050" t="0" r="952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2095500"/>
                    </a:xfrm>
                    <a:prstGeom prst="rect">
                      <a:avLst/>
                    </a:prstGeom>
                  </pic:spPr>
                </pic:pic>
              </a:graphicData>
            </a:graphic>
          </wp:anchor>
        </w:drawing>
      </w:r>
      <w:r>
        <w:rPr>
          <w:rFonts w:hint="eastAsia"/>
          <w:sz w:val="24"/>
          <w:szCs w:val="24"/>
        </w:rPr>
        <w:t>无需使用化学试剂，无需前处理，直接将样品放入样品杯中，实验操作简单，轻轻一点即可快速完成实验。避免因操作而带来的测试误差。仪器内置背景，无需手动操作，消除了人为干扰带来的影响。</w:t>
      </w:r>
    </w:p>
    <w:p>
      <w:pPr>
        <w:rPr>
          <w:sz w:val="24"/>
          <w:szCs w:val="24"/>
        </w:rPr>
      </w:pPr>
      <w:r>
        <w:rPr>
          <w:sz w:val="24"/>
          <w:szCs w:val="24"/>
        </w:rPr>
        <w:t>2</w:t>
      </w:r>
      <w:r>
        <w:rPr>
          <w:rFonts w:hint="eastAsia"/>
          <w:sz w:val="24"/>
          <w:szCs w:val="24"/>
        </w:rPr>
        <w:t>、友好的界面软件</w:t>
      </w:r>
    </w:p>
    <w:p>
      <w:pPr>
        <w:rPr>
          <w:sz w:val="24"/>
          <w:szCs w:val="24"/>
        </w:rPr>
      </w:pPr>
      <w:r>
        <w:rPr>
          <w:rFonts w:hint="eastAsia"/>
          <w:sz w:val="24"/>
          <w:szCs w:val="24"/>
        </w:rPr>
        <w:t>软件操作简单，界面直观，功能强大。它包含全面广泛的数据采集、预处理、评价等功能，可配置所需安装包满足实际需求。还扩充了“用户设置”和“用户管理”功能，便于用户定制操作者的使用权限。</w:t>
      </w:r>
    </w:p>
    <w:p>
      <w:pPr>
        <w:pStyle w:val="10"/>
        <w:ind w:left="420" w:firstLine="0" w:firstLineChars="0"/>
        <w:rPr>
          <w:rFonts w:hint="eastAsia"/>
          <w:sz w:val="24"/>
          <w:szCs w:val="24"/>
        </w:rPr>
      </w:pPr>
    </w:p>
    <w:p>
      <w:pPr>
        <w:pStyle w:val="10"/>
        <w:ind w:left="420" w:firstLine="0" w:firstLineChars="0"/>
        <w:rPr>
          <w:rFonts w:hint="eastAsia"/>
          <w:sz w:val="24"/>
          <w:szCs w:val="24"/>
        </w:rPr>
      </w:pPr>
    </w:p>
    <w:p>
      <w:pPr>
        <w:pStyle w:val="10"/>
        <w:ind w:left="420" w:firstLine="0" w:firstLineChars="0"/>
        <w:rPr>
          <w:rFonts w:hint="eastAsia"/>
          <w:sz w:val="24"/>
          <w:szCs w:val="24"/>
        </w:rPr>
      </w:pPr>
    </w:p>
    <w:p>
      <w:pPr>
        <w:pStyle w:val="10"/>
        <w:ind w:left="420" w:firstLine="0" w:firstLineChars="0"/>
        <w:rPr>
          <w:sz w:val="24"/>
          <w:szCs w:val="24"/>
        </w:rPr>
      </w:pPr>
    </w:p>
    <w:p>
      <w:pPr>
        <w:rPr>
          <w:sz w:val="24"/>
          <w:szCs w:val="24"/>
        </w:rPr>
      </w:pPr>
    </w:p>
    <w:p>
      <w:pPr>
        <w:rPr>
          <w:sz w:val="24"/>
          <w:szCs w:val="24"/>
        </w:rPr>
      </w:pPr>
      <w:r>
        <w:rPr>
          <w:sz w:val="24"/>
          <w:szCs w:val="24"/>
        </w:rPr>
        <w:t>个性化功能</w:t>
      </w:r>
    </w:p>
    <w:p>
      <w:pPr>
        <w:rPr>
          <w:sz w:val="24"/>
          <w:szCs w:val="24"/>
        </w:rPr>
      </w:pPr>
      <w:r>
        <w:rPr>
          <w:rFonts w:hint="eastAsia"/>
          <w:sz w:val="24"/>
          <w:szCs w:val="24"/>
        </w:rPr>
        <w:t>1、模型的建立与优化</w:t>
      </w:r>
    </w:p>
    <w:p>
      <w:pPr>
        <w:ind w:firstLine="420"/>
        <w:rPr>
          <w:sz w:val="24"/>
          <w:szCs w:val="24"/>
        </w:rPr>
      </w:pPr>
      <w:r>
        <w:rPr>
          <w:sz w:val="24"/>
          <w:szCs w:val="24"/>
        </w:rPr>
        <w:drawing>
          <wp:anchor distT="0" distB="0" distL="114300" distR="114300" simplePos="0" relativeHeight="251682816" behindDoc="0" locked="0" layoutInCell="1" allowOverlap="1">
            <wp:simplePos x="0" y="0"/>
            <wp:positionH relativeFrom="column">
              <wp:posOffset>3124835</wp:posOffset>
            </wp:positionH>
            <wp:positionV relativeFrom="paragraph">
              <wp:posOffset>200025</wp:posOffset>
            </wp:positionV>
            <wp:extent cx="2753360" cy="2114550"/>
            <wp:effectExtent l="19050" t="0" r="889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60" cy="2114550"/>
                    </a:xfrm>
                    <a:prstGeom prst="rect">
                      <a:avLst/>
                    </a:prstGeom>
                  </pic:spPr>
                </pic:pic>
              </a:graphicData>
            </a:graphic>
          </wp:anchor>
        </w:drawing>
      </w:r>
      <w:r>
        <w:rPr>
          <w:rFonts w:hint="eastAsia"/>
          <w:sz w:val="24"/>
          <w:szCs w:val="24"/>
        </w:rPr>
        <w:t>采用中国农业大学开发的近红外光谱分析软件（CAUNIRS），该软件集成多种建模方法和强大的数据预处理功能，拥有强大的模型编辑、计算、评价和优化功能，可简便快速地为用户建立权威、专业的近红外定量分析模型或定性识别分析模型，以及后续模型维护服务。</w:t>
      </w:r>
    </w:p>
    <w:p>
      <w:pPr>
        <w:rPr>
          <w:sz w:val="24"/>
          <w:szCs w:val="24"/>
        </w:rPr>
      </w:pPr>
      <w:r>
        <w:rPr>
          <w:sz w:val="24"/>
          <w:szCs w:val="24"/>
        </w:rPr>
        <w:t>2</w:t>
      </w:r>
      <w:r>
        <w:rPr>
          <w:rFonts w:hint="eastAsia"/>
          <w:sz w:val="24"/>
          <w:szCs w:val="24"/>
        </w:rPr>
        <w:t>、模型传递</w:t>
      </w:r>
    </w:p>
    <w:p>
      <w:pPr>
        <w:ind w:firstLine="420"/>
        <w:rPr>
          <w:sz w:val="24"/>
          <w:szCs w:val="24"/>
        </w:rPr>
      </w:pPr>
      <w:r>
        <w:rPr>
          <w:rFonts w:hint="eastAsia"/>
          <w:sz w:val="24"/>
          <w:szCs w:val="24"/>
        </w:rPr>
        <w:t>仪器超高的准确性和稳定性保证了多台仪器之间的模型可以轻松传递，实现资源共享。</w:t>
      </w:r>
    </w:p>
    <w:p>
      <w:pPr>
        <w:rPr>
          <w:sz w:val="24"/>
          <w:szCs w:val="24"/>
        </w:rPr>
      </w:pPr>
      <w:r>
        <w:rPr>
          <w:sz w:val="24"/>
          <w:szCs w:val="24"/>
        </w:rPr>
        <w:t>3</w:t>
      </w:r>
      <w:r>
        <w:rPr>
          <w:rFonts w:hint="eastAsia"/>
          <w:sz w:val="24"/>
          <w:szCs w:val="24"/>
        </w:rPr>
        <w:t>、仪器校验</w:t>
      </w:r>
    </w:p>
    <w:p>
      <w:pPr>
        <w:ind w:firstLine="420"/>
        <w:rPr>
          <w:sz w:val="24"/>
          <w:szCs w:val="24"/>
        </w:rPr>
      </w:pPr>
      <w:r>
        <w:rPr>
          <w:sz w:val="24"/>
          <w:szCs w:val="24"/>
        </w:rPr>
        <w:t>仪器内置标准物质</w:t>
      </w:r>
      <w:r>
        <w:rPr>
          <w:rFonts w:hint="eastAsia"/>
          <w:sz w:val="24"/>
          <w:szCs w:val="24"/>
        </w:rPr>
        <w:t>，</w:t>
      </w:r>
      <w:r>
        <w:rPr>
          <w:sz w:val="24"/>
          <w:szCs w:val="24"/>
        </w:rPr>
        <w:t>由Prolab S4</w:t>
      </w:r>
      <w:r>
        <w:rPr>
          <w:rFonts w:hint="eastAsia"/>
          <w:sz w:val="24"/>
          <w:szCs w:val="24"/>
        </w:rPr>
        <w:t>3</w:t>
      </w:r>
      <w:r>
        <w:rPr>
          <w:sz w:val="24"/>
          <w:szCs w:val="24"/>
        </w:rPr>
        <w:t>0 软件控制</w:t>
      </w:r>
      <w:r>
        <w:rPr>
          <w:rFonts w:hint="eastAsia"/>
          <w:sz w:val="24"/>
          <w:szCs w:val="24"/>
        </w:rPr>
        <w:t>，</w:t>
      </w:r>
      <w:r>
        <w:rPr>
          <w:sz w:val="24"/>
          <w:szCs w:val="24"/>
        </w:rPr>
        <w:t>自动完成对仪器的性能自我检测</w:t>
      </w:r>
      <w:r>
        <w:rPr>
          <w:rFonts w:hint="eastAsia"/>
          <w:sz w:val="24"/>
          <w:szCs w:val="24"/>
        </w:rPr>
        <w:t>，并给出仪器性能的指标和评价，</w:t>
      </w:r>
      <w:r>
        <w:rPr>
          <w:sz w:val="24"/>
          <w:szCs w:val="24"/>
        </w:rPr>
        <w:t>以确保仪器运行状态是否正常</w:t>
      </w:r>
      <w:r>
        <w:rPr>
          <w:rFonts w:hint="eastAsia"/>
          <w:sz w:val="24"/>
          <w:szCs w:val="24"/>
        </w:rPr>
        <w:t>、</w:t>
      </w:r>
      <w:r>
        <w:rPr>
          <w:sz w:val="24"/>
          <w:szCs w:val="24"/>
        </w:rPr>
        <w:t>规范</w:t>
      </w:r>
      <w:r>
        <w:rPr>
          <w:rFonts w:hint="eastAsia"/>
          <w:sz w:val="24"/>
          <w:szCs w:val="24"/>
        </w:rPr>
        <w:t>。</w:t>
      </w:r>
    </w:p>
    <w:p>
      <w:pPr>
        <w:rPr>
          <w:sz w:val="24"/>
          <w:szCs w:val="24"/>
        </w:rPr>
      </w:pPr>
      <w:r>
        <w:rPr>
          <w:sz w:val="24"/>
          <w:szCs w:val="24"/>
        </w:rPr>
        <w:t>根据用户实际的验证需要</w:t>
      </w:r>
      <w:r>
        <w:rPr>
          <w:rFonts w:hint="eastAsia"/>
          <w:sz w:val="24"/>
          <w:szCs w:val="24"/>
        </w:rPr>
        <w:t>，</w:t>
      </w:r>
      <w:r>
        <w:rPr>
          <w:sz w:val="24"/>
          <w:szCs w:val="24"/>
        </w:rPr>
        <w:t>公司还能提供整套的质量标准校验物质</w:t>
      </w:r>
      <w:r>
        <w:rPr>
          <w:rFonts w:hint="eastAsia"/>
          <w:sz w:val="24"/>
          <w:szCs w:val="24"/>
        </w:rPr>
        <w:t>，</w:t>
      </w:r>
      <w:r>
        <w:rPr>
          <w:sz w:val="24"/>
          <w:szCs w:val="24"/>
        </w:rPr>
        <w:t>通过Prolab S4</w:t>
      </w:r>
      <w:r>
        <w:rPr>
          <w:rFonts w:hint="eastAsia"/>
          <w:sz w:val="24"/>
          <w:szCs w:val="24"/>
        </w:rPr>
        <w:t>3</w:t>
      </w:r>
      <w:r>
        <w:rPr>
          <w:sz w:val="24"/>
          <w:szCs w:val="24"/>
        </w:rPr>
        <w:t>0自定义设置验证程序</w:t>
      </w:r>
      <w:r>
        <w:rPr>
          <w:rFonts w:hint="eastAsia"/>
          <w:sz w:val="24"/>
          <w:szCs w:val="24"/>
        </w:rPr>
        <w:t>，</w:t>
      </w:r>
      <w:r>
        <w:rPr>
          <w:sz w:val="24"/>
          <w:szCs w:val="24"/>
        </w:rPr>
        <w:t>以满足不同验证的需求</w:t>
      </w:r>
      <w:r>
        <w:rPr>
          <w:rFonts w:hint="eastAsia"/>
          <w:sz w:val="24"/>
          <w:szCs w:val="24"/>
        </w:rPr>
        <w:t>。</w:t>
      </w:r>
    </w:p>
    <w:p>
      <w:pPr>
        <w:rPr>
          <w:sz w:val="24"/>
          <w:szCs w:val="24"/>
        </w:rPr>
      </w:pPr>
      <w:r>
        <w:rPr>
          <w:rFonts w:hint="eastAsia"/>
          <w:sz w:val="24"/>
          <w:szCs w:val="24"/>
        </w:rPr>
        <w:t>4、</w:t>
      </w:r>
      <w:r>
        <w:rPr>
          <w:sz w:val="24"/>
          <w:szCs w:val="24"/>
        </w:rPr>
        <w:t>完善的服务</w:t>
      </w:r>
    </w:p>
    <w:p>
      <w:pPr>
        <w:ind w:firstLine="420"/>
        <w:rPr>
          <w:rFonts w:hint="eastAsia"/>
          <w:sz w:val="24"/>
          <w:szCs w:val="24"/>
        </w:rPr>
      </w:pPr>
      <w:r>
        <w:rPr>
          <w:rFonts w:hint="eastAsia"/>
          <w:sz w:val="24"/>
          <w:szCs w:val="24"/>
        </w:rPr>
        <w:t>公司拥有仪器开发，技术完善的多方位服务团队，能帮助用户熟悉采样附件的使用，光学元件的筛选及软件操作。还可以根据用户的需求，量身定制，为用</w:t>
      </w:r>
      <w:bookmarkStart w:id="0" w:name="_GoBack"/>
      <w:bookmarkEnd w:id="0"/>
    </w:p>
    <w:p>
      <w:pPr>
        <w:rPr>
          <w:sz w:val="24"/>
          <w:szCs w:val="24"/>
        </w:rPr>
      </w:pPr>
      <w:r>
        <w:rPr>
          <w:rFonts w:hint="eastAsia"/>
          <w:sz w:val="24"/>
          <w:szCs w:val="24"/>
        </w:rPr>
        <w:t>户提供解决方案。此外与国内许多大学和研究所合作建立应用实验室，负责用户的方法开发，技术培训和信息咨询。</w:t>
      </w:r>
    </w:p>
    <w:p>
      <w:pPr>
        <w:ind w:firstLine="420"/>
        <w:rPr>
          <w:rFonts w:hint="eastAsia"/>
          <w:sz w:val="24"/>
          <w:szCs w:val="24"/>
        </w:rPr>
      </w:pPr>
    </w:p>
    <w:p>
      <w:pPr>
        <w:ind w:firstLine="420"/>
        <w:rPr>
          <w:sz w:val="24"/>
          <w:szCs w:val="24"/>
        </w:rPr>
      </w:pPr>
    </w:p>
    <w:p>
      <w:pPr>
        <w:rPr>
          <w:sz w:val="40"/>
        </w:rPr>
      </w:pPr>
      <w:r>
        <w:rPr>
          <w:rFonts w:hint="eastAsia"/>
          <w:sz w:val="40"/>
        </w:rPr>
        <w:t>技术参数</w:t>
      </w:r>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firstLine="422"/>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项目</w:t>
            </w:r>
          </w:p>
        </w:tc>
        <w:tc>
          <w:tcPr>
            <w:tcW w:w="7874" w:type="dxa"/>
            <w:vAlign w:val="center"/>
          </w:tcPr>
          <w:p>
            <w:pPr>
              <w:ind w:right="-103" w:rightChars="-49"/>
              <w:jc w:val="center"/>
              <w:rPr>
                <w:rFonts w:ascii="Times New Roman" w:hAnsi="Times New Roman" w:eastAsia="宋体" w:cs="Times New Roman"/>
                <w:b/>
                <w:color w:val="000000"/>
                <w:kern w:val="0"/>
                <w:sz w:val="20"/>
                <w:szCs w:val="21"/>
              </w:rPr>
            </w:pPr>
            <w:r>
              <w:rPr>
                <w:rFonts w:hint="eastAsia" w:ascii="Times New Roman" w:hAnsi="Times New Roman" w:eastAsia="宋体" w:cs="Times New Roman"/>
                <w:b/>
                <w:color w:val="000000"/>
                <w:kern w:val="0"/>
                <w:sz w:val="2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仪器型号</w:t>
            </w:r>
          </w:p>
        </w:tc>
        <w:tc>
          <w:tcPr>
            <w:tcW w:w="7874" w:type="dxa"/>
            <w:vAlign w:val="center"/>
          </w:tcPr>
          <w:p>
            <w:pPr>
              <w:ind w:right="-103" w:rightChars="-49"/>
              <w:jc w:val="center"/>
              <w:rPr>
                <w:rFonts w:ascii="Times New Roman" w:hAnsi="Times New Roman" w:eastAsia="宋体" w:cs="Times New Roman"/>
                <w:color w:val="000000"/>
                <w:kern w:val="0"/>
                <w:sz w:val="20"/>
                <w:szCs w:val="21"/>
              </w:rPr>
            </w:pPr>
            <w:r>
              <w:rPr>
                <w:rFonts w:hint="eastAsia" w:ascii="Times New Roman" w:hAnsi="Times New Roman" w:eastAsia="宋体" w:cs="Times New Roman"/>
                <w:color w:val="000000"/>
                <w:kern w:val="0"/>
                <w:sz w:val="20"/>
                <w:szCs w:val="21"/>
              </w:rPr>
              <w:t>S430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b/>
                <w:color w:val="000000"/>
                <w:kern w:val="0"/>
                <w:sz w:val="20"/>
                <w:szCs w:val="21"/>
              </w:rPr>
            </w:pPr>
            <w:r>
              <w:rPr>
                <w:rFonts w:hint="eastAsia" w:ascii="Times New Roman" w:hAnsi="Times New Roman" w:eastAsia="宋体" w:cs="Times New Roman"/>
                <w:color w:val="000000"/>
                <w:kern w:val="0"/>
                <w:sz w:val="20"/>
                <w:szCs w:val="21"/>
              </w:rPr>
              <w:t>测量方式</w:t>
            </w:r>
          </w:p>
        </w:tc>
        <w:tc>
          <w:tcPr>
            <w:tcW w:w="7874" w:type="dxa"/>
            <w:vAlign w:val="center"/>
          </w:tcPr>
          <w:p>
            <w:pPr>
              <w:ind w:right="-103" w:rightChars="-49"/>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透射样品池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b/>
                <w:kern w:val="0"/>
                <w:sz w:val="20"/>
                <w:szCs w:val="21"/>
              </w:rPr>
            </w:pPr>
            <w:r>
              <w:rPr>
                <w:rFonts w:hint="eastAsia" w:ascii="Times New Roman" w:hAnsi="Times New Roman" w:eastAsia="宋体" w:cs="Times New Roman"/>
                <w:kern w:val="0"/>
                <w:sz w:val="20"/>
                <w:szCs w:val="21"/>
              </w:rPr>
              <w:t>光谱带宽nm</w:t>
            </w:r>
          </w:p>
        </w:tc>
        <w:tc>
          <w:tcPr>
            <w:tcW w:w="7874" w:type="dxa"/>
            <w:vAlign w:val="center"/>
          </w:tcPr>
          <w:p>
            <w:pPr>
              <w:ind w:right="-103" w:rightChars="-49"/>
              <w:jc w:val="center"/>
              <w:rPr>
                <w:rFonts w:ascii="Times New Roman" w:hAnsi="Times New Roman" w:eastAsia="宋体" w:cs="Times New Roman"/>
                <w:b/>
                <w:color w:val="000000"/>
                <w:kern w:val="0"/>
                <w:sz w:val="20"/>
                <w:szCs w:val="21"/>
              </w:rPr>
            </w:pPr>
            <w:r>
              <w:rPr>
                <w:rFonts w:hint="eastAsia" w:ascii="Times New Roman" w:hAnsi="Times New Roman" w:eastAsia="宋体" w:cs="Times New Roman"/>
                <w:color w:val="000000"/>
                <w:kern w:val="0"/>
                <w:sz w:val="2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波长范围nm</w:t>
            </w:r>
          </w:p>
        </w:tc>
        <w:tc>
          <w:tcPr>
            <w:tcW w:w="7874" w:type="dxa"/>
            <w:vAlign w:val="center"/>
          </w:tcPr>
          <w:p>
            <w:pPr>
              <w:ind w:right="-103" w:rightChars="-49"/>
              <w:jc w:val="center"/>
              <w:rPr>
                <w:rFonts w:ascii="Times New Roman" w:hAnsi="Times New Roman" w:eastAsia="宋体" w:cs="Times New Roman"/>
                <w:color w:val="000000"/>
                <w:kern w:val="0"/>
                <w:sz w:val="20"/>
                <w:szCs w:val="21"/>
              </w:rPr>
            </w:pPr>
            <w:r>
              <w:rPr>
                <w:rFonts w:ascii="Times New Roman" w:hAnsi="Times New Roman" w:eastAsia="宋体" w:cs="Times New Roman"/>
                <w:color w:val="000000"/>
                <w:kern w:val="0"/>
                <w:sz w:val="20"/>
                <w:szCs w:val="21"/>
              </w:rPr>
              <w:t>900</w:t>
            </w:r>
            <w:r>
              <w:rPr>
                <w:rFonts w:hint="eastAsia" w:ascii="Times New Roman" w:hAnsi="Times New Roman" w:eastAsia="宋体" w:cs="Times New Roman"/>
                <w:color w:val="000000"/>
                <w:kern w:val="0"/>
                <w:sz w:val="20"/>
                <w:szCs w:val="21"/>
              </w:rPr>
              <w:t>~</w:t>
            </w:r>
            <w:r>
              <w:rPr>
                <w:rFonts w:ascii="Times New Roman" w:hAnsi="Times New Roman" w:eastAsia="宋体" w:cs="Times New Roman"/>
                <w:color w:val="000000"/>
                <w:kern w:val="0"/>
                <w:sz w:val="20"/>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波长准确性nm</w:t>
            </w:r>
          </w:p>
        </w:tc>
        <w:tc>
          <w:tcPr>
            <w:tcW w:w="7874" w:type="dxa"/>
            <w:vAlign w:val="center"/>
          </w:tcPr>
          <w:p>
            <w:pPr>
              <w:ind w:right="-103" w:rightChars="-49"/>
              <w:jc w:val="center"/>
              <w:rPr>
                <w:rFonts w:ascii="Times New Roman" w:hAnsi="Times New Roman" w:eastAsia="宋体" w:cs="Times New Roman"/>
                <w:color w:val="000000"/>
                <w:kern w:val="0"/>
                <w:sz w:val="20"/>
                <w:szCs w:val="21"/>
              </w:rPr>
            </w:pPr>
            <w:r>
              <w:rPr>
                <w:rFonts w:ascii="宋体" w:hAnsi="宋体" w:eastAsia="宋体" w:cs="Arial"/>
                <w:kern w:val="0"/>
                <w:sz w:val="20"/>
                <w:szCs w:val="21"/>
              </w:rPr>
              <w:t>≤</w:t>
            </w:r>
            <w:r>
              <w:rPr>
                <w:rFonts w:hint="eastAsia" w:ascii="宋体" w:hAnsi="宋体" w:eastAsia="宋体" w:cs="Times New Roman"/>
                <w:kern w:val="0"/>
                <w:sz w:val="2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波长重复性nm</w:t>
            </w:r>
          </w:p>
        </w:tc>
        <w:tc>
          <w:tcPr>
            <w:tcW w:w="7874" w:type="dxa"/>
            <w:vAlign w:val="center"/>
          </w:tcPr>
          <w:p>
            <w:pPr>
              <w:ind w:right="-103" w:rightChars="-49"/>
              <w:jc w:val="center"/>
              <w:rPr>
                <w:rFonts w:ascii="Times New Roman" w:hAnsi="Times New Roman" w:eastAsia="宋体" w:cs="Times New Roman"/>
                <w:b/>
                <w:color w:val="000000"/>
                <w:kern w:val="0"/>
                <w:sz w:val="20"/>
                <w:szCs w:val="21"/>
              </w:rPr>
            </w:pPr>
            <w:r>
              <w:rPr>
                <w:rFonts w:ascii="宋体" w:hAnsi="宋体" w:eastAsia="宋体" w:cs="Arial"/>
                <w:kern w:val="0"/>
                <w:sz w:val="20"/>
                <w:szCs w:val="21"/>
              </w:rPr>
              <w:t>≤</w:t>
            </w:r>
            <w:r>
              <w:rPr>
                <w:rFonts w:hint="eastAsia" w:ascii="宋体" w:hAnsi="宋体" w:eastAsia="宋体" w:cs="Times New Roman"/>
                <w:kern w:val="0"/>
                <w:sz w:val="20"/>
                <w:szCs w:val="21"/>
              </w:rPr>
              <w:t>0.</w:t>
            </w:r>
            <w:r>
              <w:rPr>
                <w:rFonts w:ascii="宋体" w:hAnsi="宋体" w:eastAsia="宋体" w:cs="Times New Roman"/>
                <w:kern w:val="0"/>
                <w:sz w:val="2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杂散光%</w:t>
            </w:r>
          </w:p>
        </w:tc>
        <w:tc>
          <w:tcPr>
            <w:tcW w:w="7874" w:type="dxa"/>
            <w:vAlign w:val="center"/>
          </w:tcPr>
          <w:p>
            <w:pPr>
              <w:ind w:right="-103" w:rightChars="-49"/>
              <w:jc w:val="center"/>
              <w:rPr>
                <w:rFonts w:ascii="Times New Roman" w:hAnsi="Times New Roman" w:eastAsia="宋体" w:cs="Times New Roman"/>
                <w:color w:val="000000"/>
                <w:kern w:val="0"/>
                <w:sz w:val="20"/>
                <w:szCs w:val="21"/>
              </w:rPr>
            </w:pPr>
            <w:r>
              <w:rPr>
                <w:rFonts w:ascii="宋体" w:hAnsi="宋体" w:eastAsia="宋体" w:cs="Arial"/>
                <w:kern w:val="0"/>
                <w:sz w:val="20"/>
                <w:szCs w:val="21"/>
              </w:rPr>
              <w:t>≤</w:t>
            </w:r>
            <w:r>
              <w:rPr>
                <w:rFonts w:hint="eastAsia" w:ascii="Times New Roman" w:hAnsi="Times New Roman" w:eastAsia="宋体" w:cs="Times New Roman"/>
                <w:color w:val="000000"/>
                <w:kern w:val="0"/>
                <w:sz w:val="20"/>
                <w:szCs w:val="21"/>
              </w:rPr>
              <w:t>0</w:t>
            </w:r>
            <w:r>
              <w:rPr>
                <w:rFonts w:ascii="Times New Roman" w:hAnsi="Times New Roman" w:eastAsia="宋体" w:cs="Times New Roman"/>
                <w:color w:val="000000"/>
                <w:kern w:val="0"/>
                <w:sz w:val="2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吸光度噪声Abs</w:t>
            </w:r>
          </w:p>
        </w:tc>
        <w:tc>
          <w:tcPr>
            <w:tcW w:w="7874" w:type="dxa"/>
            <w:vAlign w:val="center"/>
          </w:tcPr>
          <w:p>
            <w:pPr>
              <w:ind w:right="-103" w:rightChars="-49"/>
              <w:jc w:val="center"/>
              <w:rPr>
                <w:rFonts w:ascii="Times New Roman" w:hAnsi="Times New Roman" w:eastAsia="宋体" w:cs="Times New Roman"/>
                <w:color w:val="000000"/>
                <w:kern w:val="0"/>
                <w:sz w:val="20"/>
                <w:szCs w:val="21"/>
              </w:rPr>
            </w:pPr>
            <w:r>
              <w:rPr>
                <w:rFonts w:ascii="宋体" w:hAnsi="宋体" w:eastAsia="宋体" w:cs="Arial"/>
                <w:kern w:val="0"/>
                <w:sz w:val="20"/>
                <w:szCs w:val="21"/>
              </w:rPr>
              <w:t>≤</w:t>
            </w:r>
            <w:r>
              <w:rPr>
                <w:rFonts w:ascii="Times New Roman" w:hAnsi="Times New Roman" w:eastAsia="宋体" w:cs="Times New Roman"/>
                <w:kern w:val="0"/>
                <w:sz w:val="20"/>
                <w:szCs w:val="21"/>
              </w:rPr>
              <w:t>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spacing w:val="-10"/>
                <w:kern w:val="0"/>
                <w:sz w:val="20"/>
                <w:szCs w:val="21"/>
              </w:rPr>
            </w:pPr>
            <w:r>
              <w:rPr>
                <w:rFonts w:hint="eastAsia" w:ascii="Times New Roman" w:hAnsi="Times New Roman" w:eastAsia="宋体" w:cs="Times New Roman"/>
                <w:spacing w:val="-10"/>
                <w:kern w:val="0"/>
                <w:sz w:val="20"/>
                <w:szCs w:val="21"/>
              </w:rPr>
              <w:t>分析时间</w:t>
            </w:r>
          </w:p>
        </w:tc>
        <w:tc>
          <w:tcPr>
            <w:tcW w:w="7874"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1分钟（可调节）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spacing w:val="-10"/>
                <w:kern w:val="0"/>
                <w:sz w:val="20"/>
                <w:szCs w:val="21"/>
              </w:rPr>
            </w:pPr>
            <w:r>
              <w:rPr>
                <w:rFonts w:ascii="Times New Roman" w:hAnsi="Times New Roman" w:eastAsia="宋体" w:cs="Times New Roman"/>
                <w:spacing w:val="-10"/>
                <w:kern w:val="0"/>
                <w:sz w:val="20"/>
                <w:szCs w:val="21"/>
              </w:rPr>
              <w:t>数据传输方式</w:t>
            </w:r>
          </w:p>
        </w:tc>
        <w:tc>
          <w:tcPr>
            <w:tcW w:w="7874" w:type="dxa"/>
            <w:vAlign w:val="center"/>
          </w:tcPr>
          <w:p>
            <w:pPr>
              <w:ind w:right="-103" w:rightChars="-49"/>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USB2.0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20" w:type="dxa"/>
            <w:vAlign w:val="center"/>
          </w:tcPr>
          <w:p>
            <w:pPr>
              <w:ind w:right="-103" w:rightChars="-49"/>
              <w:jc w:val="center"/>
              <w:rPr>
                <w:rFonts w:ascii="Times New Roman" w:hAnsi="Times New Roman" w:eastAsia="宋体" w:cs="Times New Roman"/>
                <w:spacing w:val="-10"/>
                <w:kern w:val="0"/>
                <w:sz w:val="20"/>
                <w:szCs w:val="21"/>
              </w:rPr>
            </w:pPr>
            <w:r>
              <w:rPr>
                <w:rFonts w:ascii="Times New Roman" w:hAnsi="Times New Roman" w:eastAsia="宋体" w:cs="Times New Roman"/>
                <w:spacing w:val="-10"/>
                <w:kern w:val="0"/>
                <w:sz w:val="20"/>
                <w:szCs w:val="21"/>
              </w:rPr>
              <w:t>定标技术</w:t>
            </w:r>
          </w:p>
        </w:tc>
        <w:tc>
          <w:tcPr>
            <w:tcW w:w="7874"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MPLS改进最小二乘法回归定标技术</w:t>
            </w:r>
          </w:p>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DPLS光谱鉴定及定性分析技术</w:t>
            </w:r>
          </w:p>
        </w:tc>
      </w:tr>
    </w:tbl>
    <w:p>
      <w:pPr>
        <w:rPr>
          <w:sz w:val="40"/>
        </w:rPr>
      </w:pPr>
      <w:r>
        <w:rPr>
          <w:sz w:val="40"/>
        </w:rPr>
        <w:t>安装要求</w:t>
      </w:r>
    </w:p>
    <w:tbl>
      <w:tblPr>
        <w:tblStyle w:val="7"/>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firstLine="422"/>
              <w:jc w:val="center"/>
              <w:rPr>
                <w:rFonts w:ascii="Times New Roman" w:hAnsi="Times New Roman" w:eastAsia="宋体" w:cs="Times New Roman"/>
                <w:b/>
                <w:kern w:val="0"/>
                <w:sz w:val="20"/>
                <w:szCs w:val="21"/>
              </w:rPr>
            </w:pPr>
            <w:r>
              <w:rPr>
                <w:rFonts w:hint="eastAsia" w:ascii="Times New Roman" w:hAnsi="Times New Roman" w:eastAsia="宋体" w:cs="Times New Roman"/>
                <w:b/>
                <w:kern w:val="0"/>
                <w:sz w:val="20"/>
                <w:szCs w:val="21"/>
              </w:rPr>
              <w:t>项目</w:t>
            </w:r>
          </w:p>
        </w:tc>
        <w:tc>
          <w:tcPr>
            <w:tcW w:w="7874" w:type="dxa"/>
            <w:vAlign w:val="center"/>
          </w:tcPr>
          <w:p>
            <w:pPr>
              <w:ind w:right="-103" w:rightChars="-49" w:firstLine="422"/>
              <w:jc w:val="center"/>
              <w:rPr>
                <w:rFonts w:ascii="Times New Roman" w:hAnsi="Times New Roman" w:eastAsia="宋体" w:cs="Times New Roman"/>
                <w:b/>
                <w:color w:val="000000"/>
                <w:kern w:val="0"/>
                <w:sz w:val="20"/>
                <w:szCs w:val="21"/>
              </w:rPr>
            </w:pPr>
            <w:r>
              <w:rPr>
                <w:rFonts w:hint="eastAsia" w:ascii="Times New Roman" w:hAnsi="Times New Roman" w:eastAsia="宋体" w:cs="Times New Roman"/>
                <w:b/>
                <w:color w:val="000000"/>
                <w:kern w:val="0"/>
                <w:sz w:val="2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b/>
                <w:kern w:val="0"/>
                <w:sz w:val="20"/>
                <w:szCs w:val="21"/>
              </w:rPr>
            </w:pPr>
            <w:r>
              <w:rPr>
                <w:rFonts w:hint="eastAsia" w:ascii="Times New Roman" w:hAnsi="Times New Roman" w:eastAsia="宋体" w:cs="Times New Roman"/>
                <w:spacing w:val="-10"/>
                <w:kern w:val="0"/>
                <w:sz w:val="20"/>
                <w:szCs w:val="21"/>
              </w:rPr>
              <w:t>电压</w:t>
            </w:r>
          </w:p>
        </w:tc>
        <w:tc>
          <w:tcPr>
            <w:tcW w:w="7874" w:type="dxa"/>
            <w:vAlign w:val="center"/>
          </w:tcPr>
          <w:p>
            <w:pPr>
              <w:ind w:right="-103" w:rightChars="-49" w:firstLine="422"/>
              <w:jc w:val="center"/>
              <w:rPr>
                <w:rFonts w:ascii="Times New Roman" w:hAnsi="Times New Roman" w:eastAsia="宋体" w:cs="Times New Roman"/>
                <w:b/>
                <w:color w:val="000000"/>
                <w:kern w:val="0"/>
                <w:sz w:val="20"/>
                <w:szCs w:val="21"/>
              </w:rPr>
            </w:pPr>
            <w:r>
              <w:rPr>
                <w:rFonts w:hint="eastAsia" w:ascii="Times New Roman" w:hAnsi="Times New Roman" w:eastAsia="宋体" w:cs="Times New Roman"/>
                <w:b/>
                <w:color w:val="000000"/>
                <w:kern w:val="0"/>
                <w:sz w:val="20"/>
                <w:szCs w:val="21"/>
              </w:rPr>
              <w:t>90~</w:t>
            </w:r>
            <w:r>
              <w:rPr>
                <w:rFonts w:ascii="Times New Roman" w:hAnsi="Times New Roman" w:eastAsia="宋体" w:cs="Times New Roman"/>
                <w:b/>
                <w:color w:val="000000"/>
                <w:kern w:val="0"/>
                <w:sz w:val="20"/>
                <w:szCs w:val="21"/>
              </w:rPr>
              <w:t>250V</w:t>
            </w:r>
            <w:r>
              <w:rPr>
                <w:rFonts w:hint="eastAsia" w:ascii="Times New Roman" w:hAnsi="Times New Roman" w:eastAsia="宋体" w:cs="Times New Roman"/>
                <w:b/>
                <w:color w:val="000000"/>
                <w:kern w:val="0"/>
                <w:sz w:val="20"/>
                <w:szCs w:val="21"/>
              </w:rPr>
              <w:t>、50</w:t>
            </w:r>
            <w:r>
              <w:rPr>
                <w:rFonts w:ascii="Times New Roman" w:hAnsi="Times New Roman" w:eastAsia="宋体" w:cs="Times New Roman"/>
                <w:b/>
                <w:color w:val="000000"/>
                <w:kern w:val="0"/>
                <w:sz w:val="20"/>
                <w:szCs w:val="21"/>
              </w:rPr>
              <w:t>Hz(</w:t>
            </w:r>
            <w:r>
              <w:rPr>
                <w:rFonts w:hint="eastAsia" w:ascii="Times New Roman" w:hAnsi="Times New Roman" w:eastAsia="宋体" w:cs="Times New Roman"/>
                <w:b/>
                <w:color w:val="000000"/>
                <w:kern w:val="0"/>
                <w:sz w:val="20"/>
                <w:szCs w:val="21"/>
              </w:rPr>
              <w:t>或60</w:t>
            </w:r>
            <w:r>
              <w:rPr>
                <w:rFonts w:ascii="Times New Roman" w:hAnsi="Times New Roman" w:eastAsia="宋体" w:cs="Times New Roman"/>
                <w:b/>
                <w:color w:val="000000"/>
                <w:kern w:val="0"/>
                <w:sz w:val="20"/>
                <w:szCs w:val="21"/>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spacing w:val="-10"/>
                <w:kern w:val="0"/>
                <w:sz w:val="20"/>
                <w:szCs w:val="21"/>
              </w:rPr>
            </w:pPr>
            <w:r>
              <w:rPr>
                <w:rFonts w:ascii="Times New Roman" w:hAnsi="Times New Roman" w:eastAsia="宋体" w:cs="Times New Roman"/>
                <w:spacing w:val="-10"/>
                <w:kern w:val="0"/>
                <w:sz w:val="20"/>
                <w:szCs w:val="21"/>
              </w:rPr>
              <w:t>环境温度</w:t>
            </w:r>
            <w:r>
              <w:rPr>
                <w:rFonts w:ascii="Times New Roman" w:hAnsi="Times New Roman" w:eastAsia="宋体" w:cs="Times New Roman"/>
                <w:kern w:val="0"/>
                <w:sz w:val="20"/>
                <w:szCs w:val="21"/>
              </w:rPr>
              <w:t>℃</w:t>
            </w:r>
          </w:p>
        </w:tc>
        <w:tc>
          <w:tcPr>
            <w:tcW w:w="7874"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spacing w:val="-10"/>
                <w:kern w:val="0"/>
                <w:sz w:val="20"/>
                <w:szCs w:val="21"/>
              </w:rPr>
            </w:pPr>
            <w:r>
              <w:rPr>
                <w:rFonts w:hint="eastAsia" w:ascii="Times New Roman" w:hAnsi="Times New Roman" w:eastAsia="宋体" w:cs="Times New Roman"/>
                <w:spacing w:val="-10"/>
                <w:kern w:val="0"/>
                <w:sz w:val="20"/>
                <w:szCs w:val="21"/>
              </w:rPr>
              <w:t>环境湿度%</w:t>
            </w:r>
            <w:r>
              <w:rPr>
                <w:rFonts w:ascii="Times New Roman" w:hAnsi="Times New Roman" w:eastAsia="宋体" w:cs="Times New Roman"/>
                <w:spacing w:val="-10"/>
                <w:kern w:val="0"/>
                <w:sz w:val="20"/>
                <w:szCs w:val="21"/>
              </w:rPr>
              <w:t>RH</w:t>
            </w:r>
          </w:p>
        </w:tc>
        <w:tc>
          <w:tcPr>
            <w:tcW w:w="7874" w:type="dxa"/>
            <w:vAlign w:val="center"/>
          </w:tcPr>
          <w:p>
            <w:pPr>
              <w:ind w:right="-103" w:rightChars="-49"/>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5</w:t>
            </w:r>
            <w:r>
              <w:rPr>
                <w:rFonts w:hint="eastAsia" w:ascii="Times New Roman" w:hAnsi="Times New Roman" w:eastAsia="宋体" w:cs="Times New Roman"/>
                <w:kern w:val="0"/>
                <w:sz w:val="20"/>
                <w:szCs w:val="21"/>
              </w:rPr>
              <w:t>~</w:t>
            </w:r>
            <w:r>
              <w:rPr>
                <w:rFonts w:ascii="Times New Roman" w:hAnsi="Times New Roman" w:eastAsia="宋体" w:cs="Times New Roman"/>
                <w:kern w:val="0"/>
                <w:sz w:val="20"/>
                <w:szCs w:val="21"/>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b/>
                <w:color w:val="000000"/>
                <w:kern w:val="0"/>
                <w:sz w:val="20"/>
                <w:szCs w:val="21"/>
              </w:rPr>
            </w:pPr>
            <w:r>
              <w:rPr>
                <w:rFonts w:ascii="Times New Roman" w:hAnsi="Times New Roman" w:eastAsia="宋体" w:cs="Times New Roman"/>
                <w:color w:val="000000"/>
                <w:kern w:val="0"/>
                <w:sz w:val="20"/>
                <w:szCs w:val="21"/>
              </w:rPr>
              <w:t>尺寸mm</w:t>
            </w:r>
          </w:p>
        </w:tc>
        <w:tc>
          <w:tcPr>
            <w:tcW w:w="7874"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360×460×240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620" w:type="dxa"/>
            <w:vAlign w:val="center"/>
          </w:tcPr>
          <w:p>
            <w:pPr>
              <w:ind w:right="-103" w:rightChars="-49"/>
              <w:jc w:val="center"/>
              <w:rPr>
                <w:rFonts w:ascii="Times New Roman" w:hAnsi="Times New Roman" w:eastAsia="宋体" w:cs="Times New Roman"/>
                <w:b/>
                <w:color w:val="000000"/>
                <w:kern w:val="0"/>
                <w:sz w:val="20"/>
                <w:szCs w:val="21"/>
              </w:rPr>
            </w:pPr>
            <w:r>
              <w:rPr>
                <w:rFonts w:ascii="Times New Roman" w:hAnsi="Times New Roman" w:eastAsia="宋体" w:cs="Times New Roman"/>
                <w:color w:val="000000"/>
                <w:kern w:val="0"/>
                <w:sz w:val="20"/>
                <w:szCs w:val="21"/>
              </w:rPr>
              <w:t>重量kg</w:t>
            </w:r>
          </w:p>
        </w:tc>
        <w:tc>
          <w:tcPr>
            <w:tcW w:w="7874" w:type="dxa"/>
            <w:vAlign w:val="center"/>
          </w:tcPr>
          <w:p>
            <w:pPr>
              <w:ind w:right="-103" w:rightChars="-49"/>
              <w:jc w:val="center"/>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12</w:t>
            </w:r>
          </w:p>
        </w:tc>
      </w:tr>
    </w:tbl>
    <w:p>
      <w:pPr>
        <w:rPr>
          <w:sz w:val="24"/>
        </w:rPr>
      </w:pPr>
    </w:p>
    <w:p>
      <w:pPr>
        <w:rPr>
          <w:sz w:val="24"/>
        </w:rPr>
      </w:pPr>
    </w:p>
    <w:p>
      <w:pPr>
        <w:rPr>
          <w:sz w:val="24"/>
        </w:rPr>
      </w:pPr>
    </w:p>
    <w:p>
      <w:pPr>
        <w:rPr>
          <w:sz w:val="24"/>
        </w:rPr>
      </w:pPr>
    </w:p>
    <w:p>
      <w:pPr>
        <w:rPr>
          <w:sz w:val="24"/>
        </w:rPr>
      </w:pPr>
    </w:p>
    <w:p>
      <w:pPr>
        <w:rPr>
          <w:sz w:val="24"/>
        </w:rPr>
      </w:pPr>
    </w:p>
    <w:p>
      <w:pPr>
        <w:rPr>
          <w:sz w:val="24"/>
        </w:rPr>
      </w:pPr>
    </w:p>
    <w:sectPr>
      <w:headerReference r:id="rId3" w:type="default"/>
      <w:footerReference r:id="rId4" w:type="default"/>
      <w:pgSz w:w="11906" w:h="16838"/>
      <w:pgMar w:top="1440" w:right="1800" w:bottom="1276" w:left="1800" w:header="283"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如你希望了解更多产品详情</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请访问公司官网</w:t>
    </w:r>
    <w:r>
      <w:fldChar w:fldCharType="begin"/>
    </w:r>
    <w:r>
      <w:instrText xml:space="preserve"> HYPERLINK "http://www.lengguang.com/" </w:instrText>
    </w:r>
    <w:r>
      <w:fldChar w:fldCharType="separate"/>
    </w:r>
    <w:r>
      <w:rPr>
        <w:rStyle w:val="9"/>
        <w:color w:val="000000" w:themeColor="text1"/>
        <w:sz w:val="24"/>
        <w14:textFill>
          <w14:solidFill>
            <w14:schemeClr w14:val="tx1"/>
          </w14:solidFill>
        </w14:textFill>
      </w:rPr>
      <w:t>www.lengguang.com</w:t>
    </w:r>
    <w:r>
      <w:rPr>
        <w:rStyle w:val="9"/>
        <w:color w:val="000000" w:themeColor="text1"/>
        <w:sz w:val="24"/>
        <w14:textFill>
          <w14:solidFill>
            <w14:schemeClr w14:val="tx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color w:val="000000" w:themeColor="text1"/>
        <w:sz w:val="24"/>
        <w14:textFill>
          <w14:solidFill>
            <w14:schemeClr w14:val="tx1"/>
          </w14:solidFill>
        </w14:textFill>
      </w:rPr>
    </w:pPr>
    <w:r>
      <w:rPr>
        <w:color w:val="000000" w:themeColor="text1"/>
        <w:sz w:val="36"/>
        <w14:textFill>
          <w14:solidFill>
            <w14:schemeClr w14:val="tx1"/>
          </w14:solidFill>
        </w14:textFill>
      </w:rPr>
      <w:drawing>
        <wp:anchor distT="0" distB="0" distL="114300" distR="114300" simplePos="0" relativeHeight="251658240" behindDoc="1" locked="0" layoutInCell="1" allowOverlap="1">
          <wp:simplePos x="0" y="0"/>
          <wp:positionH relativeFrom="column">
            <wp:posOffset>6985</wp:posOffset>
          </wp:positionH>
          <wp:positionV relativeFrom="paragraph">
            <wp:posOffset>-50165</wp:posOffset>
          </wp:positionV>
          <wp:extent cx="1352550" cy="336550"/>
          <wp:effectExtent l="0" t="0" r="635" b="635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255" cy="336594"/>
                  </a:xfrm>
                  <a:prstGeom prst="rect">
                    <a:avLst/>
                  </a:prstGeom>
                </pic:spPr>
              </pic:pic>
            </a:graphicData>
          </a:graphic>
        </wp:anchor>
      </w:drawing>
    </w:r>
    <w:r>
      <w:rPr>
        <w:color w:val="000000" w:themeColor="text1"/>
        <w:sz w:val="36"/>
        <w14:textFill>
          <w14:solidFill>
            <w14:schemeClr w14:val="tx1"/>
          </w14:solidFill>
        </w14:textFill>
      </w:rPr>
      <w:t>上海棱光技术有限公司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116"/>
    <w:multiLevelType w:val="multilevel"/>
    <w:tmpl w:val="237C011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C0"/>
    <w:rsid w:val="00011A4A"/>
    <w:rsid w:val="000142B0"/>
    <w:rsid w:val="00030523"/>
    <w:rsid w:val="000351E9"/>
    <w:rsid w:val="00035F07"/>
    <w:rsid w:val="000512EA"/>
    <w:rsid w:val="0005494D"/>
    <w:rsid w:val="00066FFF"/>
    <w:rsid w:val="00082FDE"/>
    <w:rsid w:val="00084357"/>
    <w:rsid w:val="000847F4"/>
    <w:rsid w:val="00092792"/>
    <w:rsid w:val="00093CBE"/>
    <w:rsid w:val="000A12DC"/>
    <w:rsid w:val="000C43AD"/>
    <w:rsid w:val="000D57DF"/>
    <w:rsid w:val="000D5F5F"/>
    <w:rsid w:val="000D6599"/>
    <w:rsid w:val="000E1BA9"/>
    <w:rsid w:val="000F13ED"/>
    <w:rsid w:val="000F5697"/>
    <w:rsid w:val="00107869"/>
    <w:rsid w:val="001126C4"/>
    <w:rsid w:val="00127505"/>
    <w:rsid w:val="00131351"/>
    <w:rsid w:val="00147769"/>
    <w:rsid w:val="0015098F"/>
    <w:rsid w:val="00150F6E"/>
    <w:rsid w:val="0016138F"/>
    <w:rsid w:val="00161C99"/>
    <w:rsid w:val="001744CF"/>
    <w:rsid w:val="00177606"/>
    <w:rsid w:val="00182E51"/>
    <w:rsid w:val="00196329"/>
    <w:rsid w:val="001B11A8"/>
    <w:rsid w:val="001B34F8"/>
    <w:rsid w:val="001C4E86"/>
    <w:rsid w:val="001D10B1"/>
    <w:rsid w:val="001D199A"/>
    <w:rsid w:val="001D5F04"/>
    <w:rsid w:val="001D6086"/>
    <w:rsid w:val="001F7CCB"/>
    <w:rsid w:val="00203933"/>
    <w:rsid w:val="002205F2"/>
    <w:rsid w:val="00225810"/>
    <w:rsid w:val="002556C9"/>
    <w:rsid w:val="00264EED"/>
    <w:rsid w:val="00265969"/>
    <w:rsid w:val="00267A2E"/>
    <w:rsid w:val="002759A8"/>
    <w:rsid w:val="00287C80"/>
    <w:rsid w:val="002A24AF"/>
    <w:rsid w:val="002A6146"/>
    <w:rsid w:val="002B0E4C"/>
    <w:rsid w:val="002B2865"/>
    <w:rsid w:val="002B5370"/>
    <w:rsid w:val="002B5809"/>
    <w:rsid w:val="002B6DC7"/>
    <w:rsid w:val="002C2DF8"/>
    <w:rsid w:val="002C3D02"/>
    <w:rsid w:val="002C6A95"/>
    <w:rsid w:val="002D0DA8"/>
    <w:rsid w:val="002F31E3"/>
    <w:rsid w:val="002F69C2"/>
    <w:rsid w:val="002F7E87"/>
    <w:rsid w:val="002F7FF3"/>
    <w:rsid w:val="0030031D"/>
    <w:rsid w:val="00300AE4"/>
    <w:rsid w:val="00303C9C"/>
    <w:rsid w:val="0031570F"/>
    <w:rsid w:val="00317CF6"/>
    <w:rsid w:val="00321D15"/>
    <w:rsid w:val="0033777C"/>
    <w:rsid w:val="00340FC4"/>
    <w:rsid w:val="00351439"/>
    <w:rsid w:val="00351DDD"/>
    <w:rsid w:val="00352B07"/>
    <w:rsid w:val="00361A45"/>
    <w:rsid w:val="0036439E"/>
    <w:rsid w:val="0037405E"/>
    <w:rsid w:val="00377059"/>
    <w:rsid w:val="0039070F"/>
    <w:rsid w:val="00394481"/>
    <w:rsid w:val="003949FC"/>
    <w:rsid w:val="00395CB2"/>
    <w:rsid w:val="003A0855"/>
    <w:rsid w:val="003A3D3C"/>
    <w:rsid w:val="003A6C45"/>
    <w:rsid w:val="003B3B41"/>
    <w:rsid w:val="003B3CCF"/>
    <w:rsid w:val="003D2CA5"/>
    <w:rsid w:val="003E0F45"/>
    <w:rsid w:val="003E2507"/>
    <w:rsid w:val="003F7094"/>
    <w:rsid w:val="003F7B1E"/>
    <w:rsid w:val="00400CB6"/>
    <w:rsid w:val="004273C2"/>
    <w:rsid w:val="00434CE6"/>
    <w:rsid w:val="0044736D"/>
    <w:rsid w:val="0045460E"/>
    <w:rsid w:val="004618EC"/>
    <w:rsid w:val="004651BA"/>
    <w:rsid w:val="00475151"/>
    <w:rsid w:val="00485CF4"/>
    <w:rsid w:val="0048691B"/>
    <w:rsid w:val="004910EF"/>
    <w:rsid w:val="004A4E64"/>
    <w:rsid w:val="004B37FD"/>
    <w:rsid w:val="004C01A0"/>
    <w:rsid w:val="004F13AC"/>
    <w:rsid w:val="004F3912"/>
    <w:rsid w:val="004F5329"/>
    <w:rsid w:val="004F6814"/>
    <w:rsid w:val="005041E1"/>
    <w:rsid w:val="005100AE"/>
    <w:rsid w:val="00522B64"/>
    <w:rsid w:val="0053322B"/>
    <w:rsid w:val="00550A35"/>
    <w:rsid w:val="00565354"/>
    <w:rsid w:val="005671EE"/>
    <w:rsid w:val="005810B0"/>
    <w:rsid w:val="00583765"/>
    <w:rsid w:val="00591185"/>
    <w:rsid w:val="00594F1A"/>
    <w:rsid w:val="005B4DE7"/>
    <w:rsid w:val="005B4F6B"/>
    <w:rsid w:val="005C0B8A"/>
    <w:rsid w:val="005C5D9F"/>
    <w:rsid w:val="005D3ACC"/>
    <w:rsid w:val="005D3E79"/>
    <w:rsid w:val="005D4CC9"/>
    <w:rsid w:val="005F3AA5"/>
    <w:rsid w:val="005F45F2"/>
    <w:rsid w:val="005F4A50"/>
    <w:rsid w:val="005F5265"/>
    <w:rsid w:val="005F5336"/>
    <w:rsid w:val="005F6C87"/>
    <w:rsid w:val="005F7568"/>
    <w:rsid w:val="00610A2F"/>
    <w:rsid w:val="00612038"/>
    <w:rsid w:val="00625A74"/>
    <w:rsid w:val="00633EEC"/>
    <w:rsid w:val="00640E1A"/>
    <w:rsid w:val="006471C3"/>
    <w:rsid w:val="00657E5A"/>
    <w:rsid w:val="006603E6"/>
    <w:rsid w:val="00674CF8"/>
    <w:rsid w:val="006757D1"/>
    <w:rsid w:val="006D13B6"/>
    <w:rsid w:val="006D5323"/>
    <w:rsid w:val="006E6B3B"/>
    <w:rsid w:val="006F3FEE"/>
    <w:rsid w:val="00700E80"/>
    <w:rsid w:val="007044DB"/>
    <w:rsid w:val="0070742F"/>
    <w:rsid w:val="00710E46"/>
    <w:rsid w:val="007136E1"/>
    <w:rsid w:val="007376C9"/>
    <w:rsid w:val="00742DD7"/>
    <w:rsid w:val="0075372B"/>
    <w:rsid w:val="00756C7A"/>
    <w:rsid w:val="00770A54"/>
    <w:rsid w:val="00771854"/>
    <w:rsid w:val="007813AB"/>
    <w:rsid w:val="00781D01"/>
    <w:rsid w:val="00784B49"/>
    <w:rsid w:val="00786CFD"/>
    <w:rsid w:val="0079772E"/>
    <w:rsid w:val="007A2E55"/>
    <w:rsid w:val="007A34FF"/>
    <w:rsid w:val="007B081A"/>
    <w:rsid w:val="007B37D7"/>
    <w:rsid w:val="007B5FD8"/>
    <w:rsid w:val="007B6513"/>
    <w:rsid w:val="007C6406"/>
    <w:rsid w:val="007D6DF2"/>
    <w:rsid w:val="007F32A4"/>
    <w:rsid w:val="007F5FBE"/>
    <w:rsid w:val="0082058D"/>
    <w:rsid w:val="00820FED"/>
    <w:rsid w:val="008215AE"/>
    <w:rsid w:val="00822FD1"/>
    <w:rsid w:val="00825F26"/>
    <w:rsid w:val="008408EF"/>
    <w:rsid w:val="008418A1"/>
    <w:rsid w:val="00843444"/>
    <w:rsid w:val="00844D37"/>
    <w:rsid w:val="008508B9"/>
    <w:rsid w:val="00863D7F"/>
    <w:rsid w:val="00863DB2"/>
    <w:rsid w:val="00877E96"/>
    <w:rsid w:val="00880C9A"/>
    <w:rsid w:val="00890FE0"/>
    <w:rsid w:val="0089365B"/>
    <w:rsid w:val="00894734"/>
    <w:rsid w:val="00897D0B"/>
    <w:rsid w:val="008B6015"/>
    <w:rsid w:val="008C0E2A"/>
    <w:rsid w:val="008C7EB8"/>
    <w:rsid w:val="008D0057"/>
    <w:rsid w:val="008E03D6"/>
    <w:rsid w:val="008E2903"/>
    <w:rsid w:val="008E59E5"/>
    <w:rsid w:val="008E6F4C"/>
    <w:rsid w:val="008F0CC0"/>
    <w:rsid w:val="0093609C"/>
    <w:rsid w:val="009504A7"/>
    <w:rsid w:val="009529CB"/>
    <w:rsid w:val="00953B76"/>
    <w:rsid w:val="009658EA"/>
    <w:rsid w:val="009705C2"/>
    <w:rsid w:val="0097327E"/>
    <w:rsid w:val="009911DE"/>
    <w:rsid w:val="0099278F"/>
    <w:rsid w:val="009B3F53"/>
    <w:rsid w:val="009B742B"/>
    <w:rsid w:val="009B7707"/>
    <w:rsid w:val="009C32FF"/>
    <w:rsid w:val="009C690F"/>
    <w:rsid w:val="009F54ED"/>
    <w:rsid w:val="00A00E3B"/>
    <w:rsid w:val="00A01BBD"/>
    <w:rsid w:val="00A0381A"/>
    <w:rsid w:val="00A061D7"/>
    <w:rsid w:val="00A11800"/>
    <w:rsid w:val="00A11FA3"/>
    <w:rsid w:val="00A15FFD"/>
    <w:rsid w:val="00A24AB5"/>
    <w:rsid w:val="00A60053"/>
    <w:rsid w:val="00A6181D"/>
    <w:rsid w:val="00A73B00"/>
    <w:rsid w:val="00A77181"/>
    <w:rsid w:val="00A83912"/>
    <w:rsid w:val="00A902CB"/>
    <w:rsid w:val="00AB7999"/>
    <w:rsid w:val="00AC29D9"/>
    <w:rsid w:val="00AF00BA"/>
    <w:rsid w:val="00AF2D5A"/>
    <w:rsid w:val="00AF78E8"/>
    <w:rsid w:val="00B06ED2"/>
    <w:rsid w:val="00B11791"/>
    <w:rsid w:val="00B1314C"/>
    <w:rsid w:val="00B369BB"/>
    <w:rsid w:val="00B55434"/>
    <w:rsid w:val="00B604FB"/>
    <w:rsid w:val="00B60BB0"/>
    <w:rsid w:val="00B70C72"/>
    <w:rsid w:val="00B70CAA"/>
    <w:rsid w:val="00B72BC8"/>
    <w:rsid w:val="00B735A4"/>
    <w:rsid w:val="00B7466C"/>
    <w:rsid w:val="00B74D36"/>
    <w:rsid w:val="00B7605B"/>
    <w:rsid w:val="00B86645"/>
    <w:rsid w:val="00B95395"/>
    <w:rsid w:val="00BA473B"/>
    <w:rsid w:val="00BA59D0"/>
    <w:rsid w:val="00BB283A"/>
    <w:rsid w:val="00BC7DC5"/>
    <w:rsid w:val="00BD1235"/>
    <w:rsid w:val="00BD12C7"/>
    <w:rsid w:val="00BD2D34"/>
    <w:rsid w:val="00BE23D6"/>
    <w:rsid w:val="00BE54E1"/>
    <w:rsid w:val="00C001FC"/>
    <w:rsid w:val="00C1333C"/>
    <w:rsid w:val="00C27D8A"/>
    <w:rsid w:val="00C310F6"/>
    <w:rsid w:val="00C4382A"/>
    <w:rsid w:val="00C44B40"/>
    <w:rsid w:val="00C47F51"/>
    <w:rsid w:val="00C76ED7"/>
    <w:rsid w:val="00C925E4"/>
    <w:rsid w:val="00C94A8C"/>
    <w:rsid w:val="00CA3C93"/>
    <w:rsid w:val="00CA51A7"/>
    <w:rsid w:val="00CB10CD"/>
    <w:rsid w:val="00CB39B2"/>
    <w:rsid w:val="00CB3E60"/>
    <w:rsid w:val="00CB6D88"/>
    <w:rsid w:val="00CC4C4D"/>
    <w:rsid w:val="00CE3C93"/>
    <w:rsid w:val="00CE5EE5"/>
    <w:rsid w:val="00CF04F6"/>
    <w:rsid w:val="00D05999"/>
    <w:rsid w:val="00D24E5C"/>
    <w:rsid w:val="00D3503C"/>
    <w:rsid w:val="00D35126"/>
    <w:rsid w:val="00D412A4"/>
    <w:rsid w:val="00D4747F"/>
    <w:rsid w:val="00D51CBF"/>
    <w:rsid w:val="00D52C2E"/>
    <w:rsid w:val="00D563A5"/>
    <w:rsid w:val="00D62D5A"/>
    <w:rsid w:val="00D6501F"/>
    <w:rsid w:val="00D66121"/>
    <w:rsid w:val="00D7073A"/>
    <w:rsid w:val="00D75A3E"/>
    <w:rsid w:val="00D905DE"/>
    <w:rsid w:val="00D9302D"/>
    <w:rsid w:val="00DA7F55"/>
    <w:rsid w:val="00DC2818"/>
    <w:rsid w:val="00DC4B32"/>
    <w:rsid w:val="00DC79AD"/>
    <w:rsid w:val="00DD00B5"/>
    <w:rsid w:val="00DE64F3"/>
    <w:rsid w:val="00E31442"/>
    <w:rsid w:val="00E529DD"/>
    <w:rsid w:val="00E62BC0"/>
    <w:rsid w:val="00E71361"/>
    <w:rsid w:val="00E82C11"/>
    <w:rsid w:val="00E83719"/>
    <w:rsid w:val="00E9341B"/>
    <w:rsid w:val="00EA0904"/>
    <w:rsid w:val="00EA12D0"/>
    <w:rsid w:val="00EB0936"/>
    <w:rsid w:val="00EC6708"/>
    <w:rsid w:val="00EE2F31"/>
    <w:rsid w:val="00EF36DD"/>
    <w:rsid w:val="00EF73FE"/>
    <w:rsid w:val="00F20C78"/>
    <w:rsid w:val="00F250FB"/>
    <w:rsid w:val="00F37F9F"/>
    <w:rsid w:val="00F40CC5"/>
    <w:rsid w:val="00F459FC"/>
    <w:rsid w:val="00F476DA"/>
    <w:rsid w:val="00F55AB4"/>
    <w:rsid w:val="00FA0471"/>
    <w:rsid w:val="00FA6EA1"/>
    <w:rsid w:val="00FB0B39"/>
    <w:rsid w:val="00FB26F7"/>
    <w:rsid w:val="00FC635B"/>
    <w:rsid w:val="00FD2439"/>
    <w:rsid w:val="00FE243A"/>
    <w:rsid w:val="00FF1939"/>
    <w:rsid w:val="4AEE40CB"/>
    <w:rsid w:val="74AA2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标题 1 Char"/>
    <w:basedOn w:val="8"/>
    <w:link w:val="2"/>
    <w:qFormat/>
    <w:uiPriority w:val="9"/>
    <w:rPr>
      <w:b/>
      <w:bCs/>
      <w:kern w:val="44"/>
      <w:sz w:val="44"/>
      <w:szCs w:val="44"/>
    </w:r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274</Words>
  <Characters>1567</Characters>
  <Lines>13</Lines>
  <Paragraphs>3</Paragraphs>
  <TotalTime>365</TotalTime>
  <ScaleCrop>false</ScaleCrop>
  <LinksUpToDate>false</LinksUpToDate>
  <CharactersWithSpaces>1838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2018-01-08T06:05:00Z</dcterms:created>
  <dc:creator>王虎</dc:creator>
  <cp:lastModifiedBy>xy</cp:lastModifiedBy>
  <cp:lastPrinted>2017-12-28T02:36:00Z</cp:lastPrinted>
  <dcterms:modified xsi:type="dcterms:W3CDTF">2019-04-30T07:11:58Z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