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hint="eastAsia"/>
        </w:rPr>
      </w:pPr>
      <w:bookmarkStart w:id="0" w:name="_Toc24615"/>
      <w:r>
        <w:rPr>
          <w:rFonts w:hint="eastAsia"/>
        </w:rPr>
        <w:t>759s紫外可见分光光度计</w:t>
      </w:r>
      <w:bookmarkEnd w:id="0"/>
      <w:r>
        <w:rPr>
          <w:rFonts w:hint="eastAsia"/>
        </w:rPr>
        <w:t xml:space="preserve">      </w:t>
      </w:r>
      <w:r>
        <w:rPr>
          <w:rFonts w:hint="eastAsia"/>
        </w:rPr>
        <w:drawing>
          <wp:inline distT="0" distB="0" distL="0" distR="0">
            <wp:extent cx="5267325" cy="3590925"/>
            <wp:effectExtent l="19050" t="0" r="9525" b="0"/>
            <wp:docPr id="1" name="图片 1" descr="928d0465-8d06-463b-9f7a-98a98f19a9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8d0465-8d06-463b-9f7a-98a98f19a94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仪器简介</w:t>
      </w:r>
    </w:p>
    <w:p>
      <w:pPr>
        <w:rPr>
          <w:rFonts w:hint="eastAsia"/>
        </w:rPr>
      </w:pPr>
      <w:r>
        <w:rPr>
          <w:rFonts w:hint="eastAsia"/>
        </w:rPr>
        <w:t xml:space="preserve">    759s紫外可见分光光度计是上海棱光技术有限公司精心研制的单光束、波长自动扫描型的紫外可见分光光度计产品，其结构精巧，具有性价比高，仪器功能丰富，操作便捷等特点，能轻松满足材料研究、药品分析、生化及临床检验、水质分析控制、食品安全检测等领域的定性定量分析需求。</w:t>
      </w:r>
    </w:p>
    <w:p>
      <w:pPr>
        <w:rPr>
          <w:rFonts w:hint="eastAsia"/>
        </w:rPr>
      </w:pPr>
      <w:r>
        <w:rPr>
          <w:rFonts w:hint="eastAsia"/>
        </w:rPr>
        <w:t>仪器特点：</w:t>
      </w:r>
    </w:p>
    <w:p>
      <w:pPr>
        <w:rPr>
          <w:rFonts w:hint="eastAsia"/>
        </w:rPr>
      </w:pPr>
      <w:r>
        <w:rPr>
          <w:rFonts w:hint="eastAsia"/>
        </w:rPr>
        <w:t xml:space="preserve">    光源使用寿命长：源自日本滨松（HAMAMATSU）的长寿命氘灯光源保证2000小时以上的工作寿命，极大地减少仪器日常更换光源的维护频率与成本。</w:t>
      </w:r>
    </w:p>
    <w:p>
      <w:pPr>
        <w:rPr>
          <w:rFonts w:hint="eastAsia"/>
        </w:rPr>
      </w:pPr>
      <w:r>
        <w:rPr>
          <w:rFonts w:hint="eastAsia"/>
        </w:rPr>
        <w:t xml:space="preserve">    杂散光低：精密的光学设计，确保仪器达到万分之五以下的杂散光水平，满足用户对高吸光度类样品的测量需求。</w:t>
      </w:r>
    </w:p>
    <w:p>
      <w:pPr>
        <w:rPr>
          <w:rFonts w:hint="eastAsia"/>
        </w:rPr>
      </w:pPr>
      <w:r>
        <w:rPr>
          <w:rFonts w:hint="eastAsia"/>
        </w:rPr>
        <w:t xml:space="preserve">    波长精度高：内置的光谱特征波长可自动进行波长检测和校正，保证波长的准确度与长期稳定性。</w:t>
      </w:r>
    </w:p>
    <w:p>
      <w:pPr>
        <w:rPr>
          <w:rFonts w:hint="eastAsia"/>
        </w:rPr>
      </w:pPr>
      <w:r>
        <w:rPr>
          <w:rFonts w:hint="eastAsia"/>
        </w:rPr>
        <w:t xml:space="preserve">    光度精度高：整体铝合金压铸模具技术，确保光学光路符合设计要求，提高工艺装配效率，达到高光度精度测试指标。</w:t>
      </w:r>
    </w:p>
    <w:p>
      <w:pPr>
        <w:rPr>
          <w:rFonts w:hint="eastAsia"/>
        </w:rPr>
      </w:pPr>
      <w:r>
        <w:rPr>
          <w:rFonts w:hint="eastAsia"/>
        </w:rPr>
        <w:t xml:space="preserve">    高速扫描：扫描速度多级可选，采用高精密波长驱动机构、高精度步进电机细分技术和高速数字信号处理技术，使最高波长扫描速度达到世界级水平的7000nm/min，波长移动速度高于10000nm/min。高速扫描可捕捉样品瞬间的光谱变化，提高工作测试效率。</w:t>
      </w:r>
    </w:p>
    <w:p>
      <w:pPr>
        <w:rPr>
          <w:rFonts w:hint="eastAsia"/>
        </w:rPr>
      </w:pPr>
      <w:r>
        <w:rPr>
          <w:rFonts w:hint="eastAsia"/>
        </w:rPr>
        <w:t xml:space="preserve">    单机U盘存储：配备U盘存储功能，将单机测试的定量数据存储于U盘中，文件格式兼容Excel等应用软件，方便用户管理数据。</w:t>
      </w:r>
    </w:p>
    <w:p>
      <w:pPr>
        <w:rPr>
          <w:rFonts w:hint="eastAsia"/>
        </w:rPr>
      </w:pPr>
      <w:r>
        <w:rPr>
          <w:rFonts w:hint="eastAsia"/>
        </w:rPr>
        <w:t xml:space="preserve">    单机定量分析功能丰富：电子系统采用32位ARM核处理器系统，配备128*64大屏幕液晶显示，单机定量分析功能可进行多波长测试，标准曲线拟合与测量，标准系数方程输入，标准方程</w:t>
      </w:r>
    </w:p>
    <w:p>
      <w:pPr>
        <w:rPr>
          <w:rFonts w:hint="eastAsia"/>
        </w:rPr>
      </w:pPr>
      <w:r>
        <w:rPr>
          <w:rFonts w:hint="eastAsia"/>
        </w:rPr>
        <w:t>读取与存储，数据存储与打印，浓度定量测试等。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软件功能强大：软件可实现光谱扫描，时间扫描，动力学测试，定量分析，多波长分析及公式计算，图谱处理，峰谷查找，打印数据，DNA/RNA测试，仪器校准，性能验证等多种功能，满足不同分析领域的各种需求。</w:t>
      </w: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numPr>
          <w:ilvl w:val="0"/>
          <w:numId w:val="1"/>
        </w:numPr>
        <w:spacing w:line="400" w:lineRule="atLeast"/>
        <w:ind w:left="1325"/>
        <w:rPr>
          <w:rFonts w:hint="eastAsia"/>
          <w:szCs w:val="21"/>
        </w:rPr>
      </w:pPr>
      <w:r>
        <w:rPr>
          <w:rFonts w:hint="eastAsia"/>
          <w:szCs w:val="21"/>
        </w:rPr>
        <w:t>标准配套：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1、主机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一台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2、电源电缆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一根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3、使用1、主机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一台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2、电源电缆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一根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3、使用说明书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一本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4、产品合格证明书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一份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5、熔丝（</w:t>
      </w:r>
      <w:r>
        <w:rPr>
          <w:szCs w:val="21"/>
        </w:rPr>
        <w:t>2A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二只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6、</w:t>
      </w:r>
      <w:r>
        <w:rPr>
          <w:szCs w:val="21"/>
        </w:rPr>
        <w:t>1cm</w:t>
      </w:r>
      <w:r>
        <w:rPr>
          <w:rFonts w:hint="eastAsia"/>
          <w:szCs w:val="21"/>
        </w:rPr>
        <w:t>玻璃比色皿</w:t>
      </w:r>
      <w:r>
        <w:rPr>
          <w:rFonts w:hint="eastAsia"/>
          <w:szCs w:val="21"/>
        </w:rPr>
        <w:tab/>
      </w:r>
      <w:r>
        <w:rPr>
          <w:rFonts w:hint="eastAsia"/>
          <w:szCs w:val="21"/>
          <w:lang w:eastAsia="zh-CN"/>
        </w:rPr>
        <w:t>一</w:t>
      </w:r>
      <w:bookmarkStart w:id="1" w:name="_GoBack"/>
      <w:bookmarkEnd w:id="1"/>
      <w:r>
        <w:rPr>
          <w:rFonts w:hint="eastAsia"/>
          <w:szCs w:val="21"/>
        </w:rPr>
        <w:t>盒（四只）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7、</w:t>
      </w:r>
      <w:r>
        <w:rPr>
          <w:szCs w:val="21"/>
        </w:rPr>
        <w:t>1cm</w:t>
      </w:r>
      <w:r>
        <w:rPr>
          <w:rFonts w:hint="eastAsia"/>
          <w:szCs w:val="21"/>
        </w:rPr>
        <w:t>石英比色皿</w:t>
      </w:r>
      <w:r>
        <w:rPr>
          <w:szCs w:val="21"/>
        </w:rPr>
        <w:tab/>
      </w:r>
      <w:r>
        <w:rPr>
          <w:rFonts w:hint="eastAsia"/>
          <w:szCs w:val="21"/>
        </w:rPr>
        <w:t>一盒（二只）</w:t>
      </w:r>
    </w:p>
    <w:p>
      <w:pPr>
        <w:tabs>
          <w:tab w:val="left" w:pos="5565"/>
        </w:tabs>
        <w:spacing w:line="400" w:lineRule="atLeast"/>
        <w:ind w:left="1260"/>
        <w:rPr>
          <w:szCs w:val="21"/>
        </w:rPr>
      </w:pPr>
      <w:r>
        <w:rPr>
          <w:rFonts w:hint="eastAsia"/>
          <w:szCs w:val="21"/>
        </w:rPr>
        <w:t>8、</w:t>
      </w:r>
      <w:r>
        <w:rPr>
          <w:szCs w:val="21"/>
        </w:rPr>
        <w:t>1cm</w:t>
      </w:r>
      <w:r>
        <w:rPr>
          <w:rFonts w:hint="eastAsia"/>
          <w:szCs w:val="21"/>
        </w:rPr>
        <w:t>光径比色皿架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一付</w:t>
      </w:r>
    </w:p>
    <w:p>
      <w:pPr>
        <w:tabs>
          <w:tab w:val="left" w:pos="5565"/>
        </w:tabs>
        <w:spacing w:line="40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9、装箱单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一份</w:t>
      </w:r>
    </w:p>
    <w:p>
      <w:pPr>
        <w:tabs>
          <w:tab w:val="left" w:pos="5565"/>
        </w:tabs>
        <w:spacing w:line="40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10、U盘                                 一个</w:t>
      </w:r>
    </w:p>
    <w:p>
      <w:pPr>
        <w:tabs>
          <w:tab w:val="left" w:pos="5565"/>
        </w:tabs>
        <w:spacing w:line="400" w:lineRule="atLeast"/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0000017"/>
    <w:lvl w:ilvl="0" w:tentative="0">
      <w:start w:val="1"/>
      <w:numFmt w:val="bullet"/>
      <w:lvlText w:val=""/>
      <w:legacy w:legacy="1" w:legacySpace="0" w:legacyIndent="425"/>
      <w:lvlJc w:val="left"/>
      <w:pPr>
        <w:ind w:left="851" w:hanging="425"/>
      </w:pPr>
      <w:rPr>
        <w:rFonts w:hint="default" w:ascii="Wingdings" w:hAnsi="Wingdings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248"/>
    <w:rsid w:val="000B6248"/>
    <w:rsid w:val="008A5E8A"/>
    <w:rsid w:val="1A5378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1">
    <w:name w:val="样式1"/>
    <w:basedOn w:val="2"/>
    <w:next w:val="3"/>
    <w:qFormat/>
    <w:uiPriority w:val="0"/>
    <w:pPr>
      <w:spacing w:line="576" w:lineRule="auto"/>
    </w:pPr>
    <w:rPr>
      <w:bCs w:val="0"/>
      <w:sz w:val="32"/>
      <w:szCs w:val="24"/>
    </w:rPr>
  </w:style>
  <w:style w:type="character" w:customStyle="1" w:styleId="12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</Words>
  <Characters>867</Characters>
  <Lines>7</Lines>
  <Paragraphs>2</Paragraphs>
  <TotalTime>0</TotalTime>
  <ScaleCrop>false</ScaleCrop>
  <LinksUpToDate>false</LinksUpToDate>
  <CharactersWithSpaces>1017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2014-05-14T04:43:00Z</dcterms:created>
  <dc:creator>微软用户</dc:creator>
  <cp:lastModifiedBy>Administrator</cp:lastModifiedBy>
  <dcterms:modified xsi:type="dcterms:W3CDTF">2017-03-29T08:20:15Z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